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BodyText"/>
      </w:pPr>
    </w:p>
    <w:p>
      <w:pPr>
        <w:jc w:val="left"/>
      </w:pPr>
      <w:r>
        <w:rPr>
          <w:rFonts w:ascii="Times New Roman" w:hAnsi="Times New Roman" w:eastAsia="宋体"/>
          <w:b w:val="0"/>
          <w:color w:val="000000"/>
          <w:sz w:val="24"/>
        </w:rPr>
        <w:t>编号：22631742820                                   定稿</w:t>
      </w:r>
    </w:p>
    <w:p/>
    <w:p/>
    <w:p>
      <w:pPr>
        <w:spacing w:line="360" w:lineRule="auto" w:before="0" w:after="0"/>
        <w:jc w:val="center"/>
      </w:pPr>
      <w:r>
        <w:rPr>
          <w:rFonts w:ascii="Times New Roman" w:hAnsi="Times New Roman" w:eastAsia="宋体"/>
          <w:b w:val="0"/>
          <w:color w:val="000000"/>
          <w:sz w:val="48"/>
        </w:rPr>
        <w:t>南阳师范学院2026届毕业生</w:t>
      </w:r>
    </w:p>
    <w:p>
      <w:pPr>
        <w:jc w:val="center"/>
      </w:pPr>
    </w:p>
    <w:p>
      <w:pPr>
        <w:spacing w:line="360" w:lineRule="auto" w:before="0" w:after="0"/>
        <w:jc w:val="center"/>
      </w:pPr>
      <w:r>
        <w:rPr>
          <w:rFonts w:ascii="Times New Roman" w:hAnsi="Times New Roman" w:eastAsia="黑体"/>
          <w:b w:val="0"/>
          <w:color w:val="000000"/>
          <w:sz w:val="48"/>
        </w:rPr>
        <w:t>毕业论文（设计）</w:t>
      </w:r>
    </w:p>
    <w:p/>
    <w:p/>
    <w:p/>
    <w:p>
      <w:pPr>
        <w:pStyle w:val="BodyText"/>
      </w:pPr>
    </w:p>
    <w:p/>
    <w:tbl>
      <w:tblPr>
        <w:tblW w:type="dxa" w:w="8800"/>
        <w:jc w:val="center"/>
        <w:tblLayout w:type="fixed"/>
        <w:tblLook w:firstColumn="1" w:firstRow="1" w:lastColumn="0" w:lastRow="0" w:noHBand="0" w:noVBand="1" w:val="04A0"/>
        <w:tblLayout w:type="fixed"/>
        <w:tblBorders>
          <w:left w:val="nil"/>
          <w:top w:val="nil"/>
          <w:right w:val="nil"/>
          <w:bottom w:val="nil"/>
          <w:insideH w:val="nil"/>
          <w:insideV w:val="nil"/>
        </w:tblBorders>
      </w:tblPr>
      <w:tblGrid>
        <w:gridCol w:w="4819"/>
        <w:gridCol w:w="4819"/>
      </w:tblGrid>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题　　目：</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基于Vue和Agent的量化交易系统的设计与实现</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完 成 人：</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孔浩原</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班　　级：</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2022级28班软件工程（智能设备方向）</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学　　制：</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4年</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专　　业：</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软件工程</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指导教师：</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赵晨杰</w:t>
            </w:r>
          </w:p>
        </w:tc>
      </w:tr>
      <w:tr>
        <w:trPr>
          <w:trHeight w:hRule="exact" w:val="720"/>
          <w:jc w:val="center"/>
        </w:trPr>
        <w:tc>
          <w:tcPr>
            <w:tcW w:w="1800" w:type="dxa"/>
            <w:tcBorders>
              <w:left w:val="nil"/>
              <w:top w:val="nil"/>
              <w:right w:val="nil"/>
              <w:bottom w:val="nil"/>
            </w:tcBorders>
            <w:vAlign w:val="bottom"/>
          </w:tcPr>
          <w:p>
            <w:pPr>
              <w:spacing w:after="40"/>
            </w:pPr>
            <w:r>
              <w:rPr>
                <w:rFonts w:ascii="Times New Roman" w:hAnsi="Times New Roman" w:eastAsia="宋体"/>
                <w:b w:val="0"/>
                <w:color w:val="000000"/>
                <w:sz w:val="28"/>
              </w:rPr>
              <w:t>完成日期：</w:t>
            </w:r>
          </w:p>
        </w:tc>
        <w:tc>
          <w:tcPr>
            <w:tcW w:w="7000" w:type="dxa"/>
            <w:tcBorders>
              <w:left w:val="nil"/>
              <w:top w:val="nil"/>
              <w:right w:val="nil"/>
              <w:bottom w:val="nil"/>
            </w:tcBorders>
            <w:vAlign w:val="bottom"/>
          </w:tcPr>
          <w:p>
            <w:pPr>
              <w:spacing w:after="40"/>
              <w:jc w:val="center"/>
              <w:pBdr>
                <w:bottom w:val="single" w:sz="6" w:space="1" w:color="000000"/>
              </w:pBdr>
            </w:pPr>
            <w:r>
              <w:rPr>
                <w:rFonts w:ascii="Times New Roman" w:hAnsi="Times New Roman" w:eastAsia="宋体"/>
                <w:b w:val="0"/>
                <w:color w:val="000000"/>
                <w:sz w:val="28"/>
              </w:rPr>
              <w:t>2026-04-16</w:t>
            </w:r>
          </w:p>
        </w:tc>
      </w:tr>
    </w:tbl>
    <w:p>
      <w:pPr>
        <w:jc w:val="center"/>
      </w:pPr>
    </w:p>
    <w:p>
      <w:pPr>
        <w:sectPr>
          <w:footerReference w:type="default" r:id="rId30"/>
          <w:pgSz w:w="11906" w:h="16838"/>
          <w:pgMar w:top="1440" w:right="1134" w:bottom="1440" w:left="1134" w:header="850" w:footer="992" w:gutter="0"/>
          <w:cols w:space="720"/>
          <w:docGrid w:linePitch="360"/>
        </w:sectPr>
      </w:pPr>
    </w:p>
    <w:p>
      <w:pPr>
        <w:spacing w:lineRule="exact" w:line="440" w:before="312" w:after="312"/>
        <w:jc w:val="center"/>
      </w:pPr>
      <w:r>
        <w:rPr>
          <w:rFonts w:ascii="Times New Roman" w:hAnsi="Times New Roman" w:eastAsia="黑体"/>
          <w:b w:val="0"/>
          <w:color w:val="000000"/>
          <w:sz w:val="32"/>
        </w:rPr>
        <w:t>目  录</w:t>
      </w:r>
    </w:p>
    <w:p>
      <w:pPr>
        <w:spacing w:lineRule="exact" w:line="520" w:before="0" w:after="0"/>
        <w:ind w:left="0"/>
        <w:jc w:val="left"/>
        <w:tabs>
          <w:tab w:val="right" w:leader="dot" w:pos="8296"/>
        </w:tabs>
      </w:pPr>
      <w:hyperlink w:anchor="bm_abs_zh" w:history="1">
        <w:r>
          <w:rPr>
            <w:rFonts w:eastAsia="黑体" w:ascii="Times New Roman" w:hAnsi="Times New Roman"/>
            <w:sz w:val="28"/>
            <w:szCs w:val="28"/>
          </w:rPr>
          <w:t xml:space="preserve">摘要</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bm_abs_zh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01" w:history="1">
        <w:r>
          <w:rPr>
            <w:rFonts w:eastAsia="黑体" w:ascii="Times New Roman" w:hAnsi="Times New Roman"/>
            <w:sz w:val="28"/>
            <w:szCs w:val="28"/>
          </w:rPr>
          <w:t xml:space="preserve">0 引言</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bm_h_0001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02" w:history="1">
        <w:r>
          <w:rPr>
            <w:rFonts w:eastAsia="黑体" w:ascii="Times New Roman" w:hAnsi="Times New Roman"/>
            <w:sz w:val="28"/>
            <w:szCs w:val="28"/>
          </w:rPr>
          <w:t xml:space="preserve">1 系统概括</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bm_h_0002 </w:instrText>
        </w:r>
        <w:r>
          <w:rPr>
            <w:rFonts w:eastAsia="宋体" w:ascii="宋体" w:hAnsi="宋体"/>
            <w:sz w:val="24"/>
            <w:szCs w:val="24"/>
          </w:rPr>
          <w:fldChar w:fldCharType="separate"/>
        </w:r>
        <w:r>
          <w:rPr>
            <w:rFonts w:eastAsia="宋体" w:ascii="宋体" w:hAnsi="宋体"/>
            <w:sz w:val="24"/>
            <w:szCs w:val="24"/>
          </w:rPr>
          <w:t xml:space="preserve">2</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3" w:history="1">
        <w:r>
          <w:rPr>
            <w:rFonts w:eastAsia="宋体" w:ascii="Times New Roman" w:hAnsi="Times New Roman"/>
            <w:sz w:val="24"/>
            <w:szCs w:val="24"/>
          </w:rPr>
          <w:t xml:space="preserve">1.1 系统开发的意义</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bm_h_0003 </w:instrText>
        </w:r>
        <w:r>
          <w:rPr>
            <w:rFonts w:eastAsia="宋体" w:ascii="宋体" w:hAnsi="宋体"/>
            <w:sz w:val="24"/>
            <w:szCs w:val="24"/>
          </w:rPr>
          <w:fldChar w:fldCharType="separate"/>
        </w:r>
        <w:r>
          <w:rPr>
            <w:rFonts w:eastAsia="宋体" w:ascii="宋体" w:hAnsi="宋体"/>
            <w:sz w:val="24"/>
            <w:szCs w:val="24"/>
          </w:rPr>
          <w:t xml:space="preserve">3</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4" w:history="1">
        <w:r>
          <w:rPr>
            <w:rFonts w:eastAsia="宋体" w:ascii="Times New Roman" w:hAnsi="Times New Roman"/>
            <w:sz w:val="24"/>
            <w:szCs w:val="24"/>
          </w:rPr>
          <w:t xml:space="preserve">1.2 主要任务和研究内容</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bm_h_0004 </w:instrText>
        </w:r>
        <w:r>
          <w:rPr>
            <w:rFonts w:eastAsia="宋体" w:ascii="宋体" w:hAnsi="宋体"/>
            <w:sz w:val="24"/>
            <w:szCs w:val="24"/>
          </w:rPr>
          <w:fldChar w:fldCharType="separate"/>
        </w:r>
        <w:r>
          <w:rPr>
            <w:rFonts w:eastAsia="宋体" w:ascii="宋体" w:hAnsi="宋体"/>
            <w:sz w:val="24"/>
            <w:szCs w:val="24"/>
          </w:rPr>
          <w:t xml:space="preserve">4</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05" w:history="1">
        <w:r>
          <w:rPr>
            <w:rFonts w:eastAsia="黑体" w:ascii="Times New Roman" w:hAnsi="Times New Roman"/>
            <w:sz w:val="28"/>
            <w:szCs w:val="28"/>
          </w:rPr>
          <w:t xml:space="preserve">2 相关技术与理论</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bm_h_0005 </w:instrText>
        </w:r>
        <w:r>
          <w:rPr>
            <w:rFonts w:eastAsia="宋体" w:ascii="宋体" w:hAnsi="宋体"/>
            <w:sz w:val="24"/>
            <w:szCs w:val="24"/>
          </w:rPr>
          <w:fldChar w:fldCharType="separate"/>
        </w:r>
        <w:r>
          <w:rPr>
            <w:rFonts w:eastAsia="宋体" w:ascii="宋体" w:hAnsi="宋体"/>
            <w:sz w:val="24"/>
            <w:szCs w:val="24"/>
          </w:rPr>
          <w:t xml:space="preserve">4</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6" w:history="1">
        <w:r>
          <w:rPr>
            <w:rFonts w:eastAsia="宋体" w:ascii="Times New Roman" w:hAnsi="Times New Roman"/>
            <w:sz w:val="24"/>
            <w:szCs w:val="24"/>
          </w:rPr>
          <w:t xml:space="preserve">2.1 前端技术栈</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bm_h_0006 </w:instrText>
        </w:r>
        <w:r>
          <w:rPr>
            <w:rFonts w:eastAsia="宋体" w:ascii="宋体" w:hAnsi="宋体"/>
            <w:sz w:val="24"/>
            <w:szCs w:val="24"/>
          </w:rPr>
          <w:fldChar w:fldCharType="separate"/>
        </w:r>
        <w:r>
          <w:rPr>
            <w:rFonts w:eastAsia="宋体" w:ascii="宋体" w:hAnsi="宋体"/>
            <w:sz w:val="24"/>
            <w:szCs w:val="24"/>
          </w:rPr>
          <w:t xml:space="preserve">5</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7" w:history="1">
        <w:r>
          <w:rPr>
            <w:rFonts w:eastAsia="宋体" w:ascii="Times New Roman" w:hAnsi="Times New Roman"/>
            <w:sz w:val="24"/>
            <w:szCs w:val="24"/>
          </w:rPr>
          <w:t xml:space="preserve">2.2 后端服务框架</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bm_h_0007 </w:instrText>
        </w:r>
        <w:r>
          <w:rPr>
            <w:rFonts w:eastAsia="宋体" w:ascii="宋体" w:hAnsi="宋体"/>
            <w:sz w:val="24"/>
            <w:szCs w:val="24"/>
          </w:rPr>
          <w:fldChar w:fldCharType="separate"/>
        </w:r>
        <w:r>
          <w:rPr>
            <w:rFonts w:eastAsia="宋体" w:ascii="宋体" w:hAnsi="宋体"/>
            <w:sz w:val="24"/>
            <w:szCs w:val="24"/>
          </w:rPr>
          <w:t xml:space="preserve">5</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8" w:history="1">
        <w:r>
          <w:rPr>
            <w:rFonts w:eastAsia="宋体" w:ascii="Times New Roman" w:hAnsi="Times New Roman"/>
            <w:sz w:val="24"/>
            <w:szCs w:val="24"/>
          </w:rPr>
          <w:t xml:space="preserve">2.3 数据存储与缓存</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bm_h_0008 </w:instrText>
        </w:r>
        <w:r>
          <w:rPr>
            <w:rFonts w:eastAsia="宋体" w:ascii="宋体" w:hAnsi="宋体"/>
            <w:sz w:val="24"/>
            <w:szCs w:val="24"/>
          </w:rPr>
          <w:fldChar w:fldCharType="separate"/>
        </w:r>
        <w:r>
          <w:rPr>
            <w:rFonts w:eastAsia="宋体" w:ascii="宋体" w:hAnsi="宋体"/>
            <w:sz w:val="24"/>
            <w:szCs w:val="24"/>
          </w:rPr>
          <w:t xml:space="preserve">5</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09" w:history="1">
        <w:r>
          <w:rPr>
            <w:rFonts w:eastAsia="宋体" w:ascii="Times New Roman" w:hAnsi="Times New Roman"/>
            <w:sz w:val="24"/>
            <w:szCs w:val="24"/>
          </w:rPr>
          <w:t xml:space="preserve">2.4 实时通信机制</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bm_h_0009 </w:instrText>
        </w:r>
        <w:r>
          <w:rPr>
            <w:rFonts w:eastAsia="宋体" w:ascii="宋体" w:hAnsi="宋体"/>
            <w:sz w:val="24"/>
            <w:szCs w:val="24"/>
          </w:rPr>
          <w:fldChar w:fldCharType="separate"/>
        </w:r>
        <w:r>
          <w:rPr>
            <w:rFonts w:eastAsia="宋体" w:ascii="宋体" w:hAnsi="宋体"/>
            <w:sz w:val="24"/>
            <w:szCs w:val="24"/>
          </w:rPr>
          <w:t xml:space="preserve">5</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0" w:history="1">
        <w:r>
          <w:rPr>
            <w:rFonts w:eastAsia="宋体" w:ascii="Times New Roman" w:hAnsi="Times New Roman"/>
            <w:sz w:val="24"/>
            <w:szCs w:val="24"/>
          </w:rPr>
          <w:t xml:space="preserve">2.5 智能分析技术</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bm_h_0010 </w:instrText>
        </w:r>
        <w:r>
          <w:rPr>
            <w:rFonts w:eastAsia="宋体" w:ascii="宋体" w:hAnsi="宋体"/>
            <w:sz w:val="24"/>
            <w:szCs w:val="24"/>
          </w:rPr>
          <w:fldChar w:fldCharType="separate"/>
        </w:r>
        <w:r>
          <w:rPr>
            <w:rFonts w:eastAsia="宋体" w:ascii="宋体" w:hAnsi="宋体"/>
            <w:sz w:val="24"/>
            <w:szCs w:val="24"/>
          </w:rPr>
          <w:t xml:space="preserve">5</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1" w:history="1">
        <w:r>
          <w:rPr>
            <w:rFonts w:eastAsia="宋体" w:ascii="Times New Roman" w:hAnsi="Times New Roman"/>
            <w:sz w:val="24"/>
            <w:szCs w:val="24"/>
          </w:rPr>
          <w:t xml:space="preserve">2.6 容器化部署</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bm_h_0011 </w:instrText>
        </w:r>
        <w:r>
          <w:rPr>
            <w:rFonts w:eastAsia="宋体" w:ascii="宋体" w:hAnsi="宋体"/>
            <w:sz w:val="24"/>
            <w:szCs w:val="24"/>
          </w:rPr>
          <w:fldChar w:fldCharType="separate"/>
        </w:r>
        <w:r>
          <w:rPr>
            <w:rFonts w:eastAsia="宋体" w:ascii="宋体" w:hAnsi="宋体"/>
            <w:sz w:val="24"/>
            <w:szCs w:val="24"/>
          </w:rPr>
          <w:t xml:space="preserve">6</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12" w:history="1">
        <w:r>
          <w:rPr>
            <w:rFonts w:eastAsia="黑体" w:ascii="Times New Roman" w:hAnsi="Times New Roman"/>
            <w:sz w:val="28"/>
            <w:szCs w:val="28"/>
          </w:rPr>
          <w:t xml:space="preserve">3 系统需求分析</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bm_h_0012 </w:instrText>
        </w:r>
        <w:r>
          <w:rPr>
            <w:rFonts w:eastAsia="宋体" w:ascii="宋体" w:hAnsi="宋体"/>
            <w:sz w:val="24"/>
            <w:szCs w:val="24"/>
          </w:rPr>
          <w:fldChar w:fldCharType="separate"/>
        </w:r>
        <w:r>
          <w:rPr>
            <w:rFonts w:eastAsia="宋体" w:ascii="宋体" w:hAnsi="宋体"/>
            <w:sz w:val="24"/>
            <w:szCs w:val="24"/>
          </w:rPr>
          <w:t xml:space="preserve">7</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3" w:history="1">
        <w:r>
          <w:rPr>
            <w:rFonts w:eastAsia="宋体" w:ascii="Times New Roman" w:hAnsi="Times New Roman"/>
            <w:sz w:val="24"/>
            <w:szCs w:val="24"/>
          </w:rPr>
          <w:t xml:space="preserve">3.1 功能需求</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bm_h_0013 </w:instrText>
        </w:r>
        <w:r>
          <w:rPr>
            <w:rFonts w:eastAsia="宋体" w:ascii="宋体" w:hAnsi="宋体"/>
            <w:sz w:val="24"/>
            <w:szCs w:val="24"/>
          </w:rPr>
          <w:fldChar w:fldCharType="separate"/>
        </w:r>
        <w:r>
          <w:rPr>
            <w:rFonts w:eastAsia="宋体" w:ascii="宋体" w:hAnsi="宋体"/>
            <w:sz w:val="24"/>
            <w:szCs w:val="24"/>
          </w:rPr>
          <w:t xml:space="preserve">7</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4" w:history="1">
        <w:r>
          <w:rPr>
            <w:rFonts w:eastAsia="宋体" w:ascii="Times New Roman" w:hAnsi="Times New Roman"/>
            <w:sz w:val="24"/>
            <w:szCs w:val="24"/>
          </w:rPr>
          <w:t xml:space="preserve">3.2 非功能需求</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bm_h_0014 </w:instrText>
        </w:r>
        <w:r>
          <w:rPr>
            <w:rFonts w:eastAsia="宋体" w:ascii="宋体" w:hAnsi="宋体"/>
            <w:sz w:val="24"/>
            <w:szCs w:val="24"/>
          </w:rPr>
          <w:fldChar w:fldCharType="separate"/>
        </w:r>
        <w:r>
          <w:rPr>
            <w:rFonts w:eastAsia="宋体" w:ascii="宋体" w:hAnsi="宋体"/>
            <w:sz w:val="24"/>
            <w:szCs w:val="24"/>
          </w:rPr>
          <w:t xml:space="preserve">9</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5" w:history="1">
        <w:r>
          <w:rPr>
            <w:rFonts w:eastAsia="宋体" w:ascii="Times New Roman" w:hAnsi="Times New Roman"/>
            <w:sz w:val="24"/>
            <w:szCs w:val="24"/>
          </w:rPr>
          <w:t xml:space="preserve">3.3 数据与接口约束</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bm_h_0015 </w:instrText>
        </w:r>
        <w:r>
          <w:rPr>
            <w:rFonts w:eastAsia="宋体" w:ascii="宋体" w:hAnsi="宋体"/>
            <w:sz w:val="24"/>
            <w:szCs w:val="24"/>
          </w:rPr>
          <w:fldChar w:fldCharType="separate"/>
        </w:r>
        <w:r>
          <w:rPr>
            <w:rFonts w:eastAsia="宋体" w:ascii="宋体" w:hAnsi="宋体"/>
            <w:sz w:val="24"/>
            <w:szCs w:val="24"/>
          </w:rPr>
          <w:t xml:space="preserve">10</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16" w:history="1">
        <w:r>
          <w:rPr>
            <w:rFonts w:eastAsia="黑体" w:ascii="Times New Roman" w:hAnsi="Times New Roman"/>
            <w:sz w:val="28"/>
            <w:szCs w:val="28"/>
          </w:rPr>
          <w:t xml:space="preserve">4 系统设计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bm_h_0016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7" w:history="1">
        <w:r>
          <w:rPr>
            <w:rFonts w:eastAsia="宋体" w:ascii="Times New Roman" w:hAnsi="Times New Roman"/>
            <w:sz w:val="24"/>
            <w:szCs w:val="24"/>
          </w:rPr>
          <w:t xml:space="preserve">4.1 五层架构与路由设计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bm_h_0017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8" w:history="1">
        <w:r>
          <w:rPr>
            <w:rFonts w:eastAsia="宋体" w:ascii="Times New Roman" w:hAnsi="Times New Roman"/>
            <w:sz w:val="24"/>
            <w:szCs w:val="24"/>
          </w:rPr>
          <w:t xml:space="preserve">4.2 接入层与中间件设计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bm_h_0018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19" w:history="1">
        <w:r>
          <w:rPr>
            <w:rFonts w:eastAsia="宋体" w:ascii="Times New Roman" w:hAnsi="Times New Roman"/>
            <w:sz w:val="24"/>
            <w:szCs w:val="24"/>
          </w:rPr>
          <w:t xml:space="preserve">4.3 策略适配层设计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bm_h_0019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0" w:history="1">
        <w:r>
          <w:rPr>
            <w:rFonts w:eastAsia="宋体" w:ascii="Times New Roman" w:hAnsi="Times New Roman"/>
            <w:sz w:val="24"/>
            <w:szCs w:val="24"/>
          </w:rPr>
          <w:t xml:space="preserve">4.4 多智能体协同层设计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bm_h_0020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1" w:history="1">
        <w:r>
          <w:rPr>
            <w:rFonts w:eastAsia="宋体" w:ascii="Times New Roman" w:hAnsi="Times New Roman"/>
            <w:sz w:val="24"/>
            <w:szCs w:val="24"/>
          </w:rPr>
          <w:t xml:space="preserve">4.5 数据治理层设计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bm_h_0021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2" w:history="1">
        <w:r>
          <w:rPr>
            <w:rFonts w:eastAsia="宋体" w:ascii="Times New Roman" w:hAnsi="Times New Roman"/>
            <w:sz w:val="24"/>
            <w:szCs w:val="24"/>
          </w:rPr>
          <w:t xml:space="preserve">4.6 数据库设计</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bm_h_0022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476"/>
        <w:jc w:val="left"/>
        <w:tabs>
          <w:tab w:val="right" w:leader="dot" w:pos="8296"/>
        </w:tabs>
      </w:pPr>
      <w:hyperlink w:anchor="bm_h_0023" w:history="1">
        <w:r>
          <w:rPr>
            <w:rFonts w:eastAsia="宋体" w:ascii="Times New Roman" w:hAnsi="Times New Roman"/>
            <w:sz w:val="24"/>
            <w:szCs w:val="24"/>
          </w:rPr>
          <w:t xml:space="preserve">4.6.1 双库架构</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bm_h_0023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24" w:history="1">
        <w:r>
          <w:rPr>
            <w:rFonts w:eastAsia="黑体" w:ascii="Times New Roman" w:hAnsi="Times New Roman"/>
            <w:sz w:val="28"/>
            <w:szCs w:val="28"/>
          </w:rPr>
          <w:t xml:space="preserve">5 系统实现</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bm_h_0024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5" w:history="1">
        <w:r>
          <w:rPr>
            <w:rFonts w:eastAsia="宋体" w:ascii="Times New Roman" w:hAnsi="Times New Roman"/>
            <w:sz w:val="24"/>
            <w:szCs w:val="24"/>
          </w:rPr>
          <w:t xml:space="preserve">5.1 认证与中间件实现</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bm_h_0025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6" w:history="1">
        <w:r>
          <w:rPr>
            <w:rFonts w:eastAsia="宋体" w:ascii="Times New Roman" w:hAnsi="Times New Roman"/>
            <w:sz w:val="24"/>
            <w:szCs w:val="24"/>
          </w:rPr>
          <w:t xml:space="preserve">5.2 策略适配与回测实现</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bm_h_0026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7" w:history="1">
        <w:r>
          <w:rPr>
            <w:rFonts w:eastAsia="宋体" w:ascii="Times New Roman" w:hAnsi="Times New Roman"/>
            <w:sz w:val="24"/>
            <w:szCs w:val="24"/>
          </w:rPr>
          <w:t xml:space="preserve">5.3 多智能体协同实现</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bm_h_0027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8" w:history="1">
        <w:r>
          <w:rPr>
            <w:rFonts w:eastAsia="宋体" w:ascii="Times New Roman" w:hAnsi="Times New Roman"/>
            <w:sz w:val="24"/>
            <w:szCs w:val="24"/>
          </w:rPr>
          <w:t xml:space="preserve">5.4 数据治理与实时协同</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bm_h_0028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29" w:history="1">
        <w:r>
          <w:rPr>
            <w:rFonts w:eastAsia="宋体" w:ascii="Times New Roman" w:hAnsi="Times New Roman"/>
            <w:sz w:val="24"/>
            <w:szCs w:val="24"/>
          </w:rPr>
          <w:t xml:space="preserve">5.5 前端实现与部署</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bm_h_0029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30" w:history="1">
        <w:r>
          <w:rPr>
            <w:rFonts w:eastAsia="黑体" w:ascii="Times New Roman" w:hAnsi="Times New Roman"/>
            <w:sz w:val="28"/>
            <w:szCs w:val="28"/>
          </w:rPr>
          <w:t xml:space="preserve">6 系统测试与部署</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bm_h_0030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31" w:history="1">
        <w:r>
          <w:rPr>
            <w:rFonts w:eastAsia="宋体" w:ascii="Times New Roman" w:hAnsi="Times New Roman"/>
            <w:sz w:val="24"/>
            <w:szCs w:val="24"/>
          </w:rPr>
          <w:t xml:space="preserve">6.1 验证目标与测试方法</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bm_h_0031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32" w:history="1">
        <w:r>
          <w:rPr>
            <w:rFonts w:eastAsia="宋体" w:ascii="Times New Roman" w:hAnsi="Times New Roman"/>
            <w:sz w:val="24"/>
            <w:szCs w:val="24"/>
          </w:rPr>
          <w:t xml:space="preserve">6.2 主链路功能验证</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bm_h_0032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33" w:history="1">
        <w:r>
          <w:rPr>
            <w:rFonts w:eastAsia="宋体" w:ascii="Times New Roman" w:hAnsi="Times New Roman"/>
            <w:sz w:val="24"/>
            <w:szCs w:val="24"/>
          </w:rPr>
          <w:t xml:space="preserve">6.3 异常恢复与性能观测</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bm_h_0033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238"/>
        <w:jc w:val="left"/>
        <w:tabs>
          <w:tab w:val="right" w:leader="dot" w:pos="8296"/>
        </w:tabs>
      </w:pPr>
      <w:hyperlink w:anchor="bm_h_0034" w:history="1">
        <w:r>
          <w:rPr>
            <w:rFonts w:eastAsia="宋体" w:ascii="Times New Roman" w:hAnsi="Times New Roman"/>
            <w:sz w:val="24"/>
            <w:szCs w:val="24"/>
          </w:rPr>
          <w:t xml:space="preserve">6.4 部署验证与系统边界</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bm_h_0034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35" w:history="1">
        <w:r>
          <w:rPr>
            <w:rFonts w:eastAsia="黑体" w:ascii="Times New Roman" w:hAnsi="Times New Roman"/>
            <w:sz w:val="28"/>
            <w:szCs w:val="28"/>
          </w:rPr>
          <w:t xml:space="preserve">7 总结</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bm_h_0035 </w:instrText>
        </w:r>
        <w:r>
          <w:rPr>
            <w:rFonts w:eastAsia="宋体" w:ascii="宋体" w:hAnsi="宋体"/>
            <w:sz w:val="24"/>
            <w:szCs w:val="24"/>
          </w:rPr>
          <w:fldChar w:fldCharType="separate"/>
        </w:r>
        <w:r>
          <w:rPr>
            <w:rFonts w:eastAsia="宋体" w:ascii="宋体" w:hAnsi="宋体"/>
            <w:sz w:val="24"/>
            <w:szCs w:val="24"/>
          </w:rPr>
          <w:t xml:space="preserve">1</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h_0036" w:history="1">
        <w:r>
          <w:rPr>
            <w:rFonts w:eastAsia="黑体" w:ascii="Times New Roman" w:hAnsi="Times New Roman"/>
            <w:sz w:val="28"/>
            <w:szCs w:val="28"/>
          </w:rPr>
          <w:t xml:space="preserve">参考文献</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bm_h_0036 </w:instrText>
        </w:r>
        <w:r>
          <w:rPr>
            <w:rFonts w:eastAsia="宋体" w:ascii="宋体" w:hAnsi="宋体"/>
            <w:sz w:val="24"/>
            <w:szCs w:val="24"/>
          </w:rPr>
          <w:fldChar w:fldCharType="separate"/>
        </w:r>
        <w:r>
          <w:rPr>
            <w:rFonts w:eastAsia="宋体" w:ascii="宋体" w:hAnsi="宋体"/>
            <w:sz w:val="24"/>
            <w:szCs w:val="24"/>
          </w:rPr>
          <w:t xml:space="preserve">30</w:t>
        </w:r>
        <w:r>
          <w:rPr>
            <w:rFonts w:eastAsia="宋体" w:ascii="宋体" w:hAnsi="宋体"/>
            <w:sz w:val="24"/>
            <w:szCs w:val="24"/>
          </w:rPr>
          <w:fldChar w:fldCharType="end"/>
        </w:r>
        <w:r>
          <w:rPr>
            <w:rFonts w:eastAsia="宋体" w:ascii="宋体" w:hAnsi="宋体"/>
            <w:sz w:val="24"/>
            <w:szCs w:val="24"/>
          </w:rPr>
          <w:t xml:space="preserve">)</w:t>
        </w:r>
      </w:hyperlink>
    </w:p>
    <w:p>
      <w:pPr>
        <w:spacing w:lineRule="exact" w:line="520" w:before="0" w:after="0"/>
        <w:ind w:left="0"/>
        <w:jc w:val="left"/>
        <w:tabs>
          <w:tab w:val="right" w:leader="dot" w:pos="8296"/>
        </w:tabs>
      </w:pPr>
      <w:hyperlink w:anchor="bm_abs_en" w:history="1">
        <w:r>
          <w:rPr>
            <w:rFonts w:eastAsia="黑体" w:ascii="Times New Roman" w:hAnsi="Times New Roman"/>
            <w:sz w:val="28"/>
            <w:szCs w:val="28"/>
          </w:rPr>
          <w:t xml:space="preserve">Abstract</w:t>
        </w:r>
        <w:r>
          <w:rPr>
            <w:rFonts w:eastAsia="宋体" w:ascii="宋体" w:hAnsi="宋体"/>
            <w:sz w:val="24"/>
            <w:szCs w:val="24"/>
          </w:rPr>
          <w:t xml:space="preserve">	</w:t>
        </w:r>
        <w:r>
          <w:rPr>
            <w:rFonts w:eastAsia="宋体" w:ascii="宋体" w:hAnsi="宋体"/>
            <w:sz w:val="24"/>
            <w:szCs w:val="24"/>
          </w:rPr>
          <w:t xml:space="preserve">(</w:t>
        </w:r>
        <w:r>
          <w:rPr>
            <w:rFonts w:eastAsia="宋体" w:ascii="宋体" w:hAnsi="宋体"/>
            <w:sz w:val="24"/>
            <w:szCs w:val="24"/>
          </w:rPr>
          <w:fldChar w:fldCharType="begin"/>
        </w:r>
        <w:r>
          <w:rPr>
            <w:rFonts w:eastAsia="宋体" w:ascii="宋体" w:hAnsi="宋体"/>
            <w:sz w:val="24"/>
            <w:szCs w:val="24"/>
          </w:rPr>
          <w:instrText xml:space="preserve"> PAGEREF bm_abs_en </w:instrText>
        </w:r>
        <w:r>
          <w:rPr>
            <w:rFonts w:eastAsia="宋体" w:ascii="宋体" w:hAnsi="宋体"/>
            <w:sz w:val="24"/>
            <w:szCs w:val="24"/>
          </w:rPr>
          <w:fldChar w:fldCharType="separate"/>
        </w:r>
        <w:r>
          <w:rPr>
            <w:rFonts w:eastAsia="宋体" w:ascii="宋体" w:hAnsi="宋体"/>
            <w:sz w:val="24"/>
            <w:szCs w:val="24"/>
          </w:rPr>
          <w:t xml:space="preserve">34</w:t>
        </w:r>
        <w:r>
          <w:rPr>
            <w:rFonts w:eastAsia="宋体" w:ascii="宋体" w:hAnsi="宋体"/>
            <w:sz w:val="24"/>
            <w:szCs w:val="24"/>
          </w:rPr>
          <w:fldChar w:fldCharType="end"/>
        </w:r>
        <w:r>
          <w:rPr>
            <w:rFonts w:eastAsia="宋体" w:ascii="宋体" w:hAnsi="宋体"/>
            <w:sz w:val="24"/>
            <w:szCs w:val="24"/>
          </w:rPr>
          <w:t xml:space="preserve">)</w:t>
        </w:r>
      </w:hyperlink>
    </w:p>
    <w:p>
      <w:pPr>
        <w:sectPr>
          <w:footerReference w:type="default" r:id="rId31"/>
          <w:pgSz w:w="11906" w:h="16838"/>
          <w:pgMar w:top="1440" w:right="1134" w:bottom="1440" w:left="1134" w:header="850" w:footer="992" w:gutter="0"/>
          <w:cols w:space="720"/>
          <w:docGrid w:linePitch="360"/>
        </w:sectPr>
      </w:pPr>
    </w:p>
    <w:p>
      <w:pPr>
        <w:spacing w:lineRule="exact" w:line="440" w:before="0" w:after="0"/>
        <w:jc w:val="center"/>
        <w:outlineLvl w:val="0"/>
      </w:pPr>
      <w:bookmarkStart w:id="1" w:name="bm_abs_zh"/>
      <w:r>
        <w:rPr>
          <w:rFonts w:ascii="Times New Roman" w:hAnsi="Times New Roman" w:eastAsia="黑体"/>
          <w:b/>
          <w:color w:val="000000"/>
          <w:sz w:val="36"/>
        </w:rPr>
        <w:t>基于Vue和Agent的量化交易系统的设计与实现</w:t>
      </w:r>
      <w:bookmarkEnd w:id="1"/>
    </w:p>
    <w:p/>
    <w:p>
      <w:pPr>
        <w:ind w:firstLine="3345"/>
        <w:jc w:val="left"/>
      </w:pPr>
      <w:r>
        <w:rPr>
          <w:rFonts w:ascii="Times New Roman" w:hAnsi="Times New Roman" w:eastAsia="仿宋"/>
          <w:b w:val="0"/>
          <w:color w:val="000000"/>
          <w:sz w:val="24"/>
        </w:rPr>
        <w:t>作    者：孔浩原</w:t>
      </w:r>
    </w:p>
    <w:p>
      <w:pPr>
        <w:ind w:firstLine="3345"/>
        <w:jc w:val="left"/>
      </w:pPr>
      <w:r>
        <w:rPr>
          <w:rFonts w:ascii="Times New Roman" w:hAnsi="Times New Roman" w:eastAsia="仿宋"/>
          <w:b w:val="0"/>
          <w:color w:val="000000"/>
          <w:sz w:val="24"/>
        </w:rPr>
        <w:t>指导教师：赵晨杰</w:t>
      </w:r>
    </w:p>
    <w:p/>
    <w:p>
      <w:pPr>
        <w:spacing w:lineRule="exact" w:line="400" w:before="0" w:after="0"/>
        <w:ind w:firstLine="480"/>
        <w:jc w:val="both"/>
      </w:pPr>
      <w:r>
        <w:rPr>
          <w:rFonts w:ascii="Times New Roman" w:hAnsi="Times New Roman" w:eastAsia="黑体"/>
          <w:b w:val="0"/>
          <w:color w:val="000000"/>
          <w:sz w:val="24"/>
        </w:rPr>
        <w:t>摘要</w:t>
      </w:r>
      <w:r>
        <w:rPr>
          <w:rFonts w:ascii="Times New Roman" w:hAnsi="Times New Roman" w:eastAsia="黑体"/>
          <w:b w:val="0"/>
          <w:color w:val="000000"/>
          <w:sz w:val="24"/>
        </w:rPr>
        <w:t>：</w:t>
      </w:r>
      <w:r>
        <w:rPr>
          <w:rFonts w:ascii="Times New Roman" w:hAnsi="Times New Roman" w:eastAsia="仿宋"/>
          <w:b w:val="0"/>
          <w:color w:val="000000"/>
          <w:sz w:val="24"/>
        </w:rPr>
        <w:t>量化投资横跨编程、金融建模与数据工程三个领域，门槛不低，多数散户还没走到策略验证这一步就被环境搭建劝退了。笔者在前期调研中翻看了十余款面向个人的量化工具，发现一个共性短板：策略写完要换一套软件跑回测，回测跑完想让AI帮忙诊断又得去接第三方接口，中间数据格式各管各的。用户拿到一条买入建议后想弄清它到底看了哪段行情、哪几个指标——结果发现数据链路是断的，追不回去。 针对这个问题，本文设计了一套基于Vue3与多智能体协同的量化交易分析系统。核心思路是用事件驱动把全流程压到同一条数据链路上：用户提交策略代码，适配器先判断语言类型（Python、JavaScript或通达信公式），自动生成执行配置；回测引擎拿到配置后在历史行情上逐日撮合，计算收益率、最大回撤与夏普比率等指标；结果随即分发给六个职能不同的AI智能体，各自打分后按历史准确率加权合成一条综合建议。测试阶段跑了约200轮回测，语言识别没有出现一次误判，分析响应基本控制在3秒以内。</w:t>
      </w:r>
    </w:p>
    <w:p>
      <w:pPr>
        <w:spacing w:lineRule="exact" w:line="400" w:before="0" w:after="0"/>
        <w:ind w:firstLine="480"/>
        <w:jc w:val="both"/>
      </w:pPr>
      <w:r>
        <w:rPr>
          <w:rFonts w:ascii="Times New Roman" w:hAnsi="Times New Roman" w:eastAsia="黑体"/>
          <w:b w:val="0"/>
          <w:color w:val="000000"/>
          <w:sz w:val="24"/>
        </w:rPr>
        <w:t>关键词</w:t>
      </w:r>
      <w:r>
        <w:rPr>
          <w:rFonts w:ascii="Times New Roman" w:hAnsi="Times New Roman" w:eastAsia="黑体"/>
          <w:b w:val="0"/>
          <w:color w:val="000000"/>
          <w:sz w:val="24"/>
        </w:rPr>
        <w:t>：</w:t>
      </w:r>
      <w:r>
        <w:rPr>
          <w:rFonts w:ascii="Times New Roman" w:hAnsi="Times New Roman" w:eastAsia="仿宋"/>
          <w:b w:val="0"/>
          <w:color w:val="000000"/>
          <w:sz w:val="24"/>
        </w:rPr>
        <w:t>量化交易；Vue3；多智能体；策略适配器；事件驱动</w:t>
      </w:r>
    </w:p>
    <w:p>
      <w:pPr>
        <w:spacing w:lineRule="exact" w:line="440" w:before="0" w:after="0"/>
        <w:jc w:val="left"/>
      </w:pPr>
    </w:p>
    <w:p>
      <w:pPr>
        <w:spacing w:lineRule="exact" w:line="440" w:before="0" w:after="0"/>
        <w:jc w:val="left"/>
        <w:outlineLvl w:val="0"/>
      </w:pPr>
      <w:bookmarkStart w:id="3" w:name="bm_h_0001"/>
      <w:r>
        <w:rPr>
          <w:rFonts w:ascii="Times New Roman" w:hAnsi="Times New Roman" w:eastAsia="黑体"/>
          <w:b w:val="0"/>
          <w:color w:val="000000"/>
          <w:sz w:val="30"/>
        </w:rPr>
        <w:t>0 引言</w:t>
      </w:r>
      <w:bookmarkEnd w:id="3"/>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量化投资的基本思路是把交易规则提前定好，让程序按规则执行，减少临场判断中的情绪干扰。Markowitz在1952年提出的均值—方差模型</w:t>
      </w:r>
      <w:hyperlink w:anchor="bm_ref_1" w:history="1">
        <w:r>
          <w:rPr>
            <w:rFonts w:eastAsia="宋体" w:ascii="Times New Roman" w:hAnsi="Times New Roman"/>
            <w:sz w:val="15"/>
            <w:szCs w:val="15"/>
            <w:vertAlign w:val="superscript"/>
            <w:position w:val="6"/>
          </w:rPr>
          <w:t xml:space="preserve">[1]</w:t>
        </w:r>
      </w:hyperlink>
      <w:r>
        <w:rPr>
          <w:rFonts w:ascii="Times New Roman" w:hAnsi="Times New Roman" w:eastAsia="宋体"/>
          <w:b w:val="0"/>
          <w:color w:val="000000"/>
          <w:sz w:val="28"/>
        </w:rPr>
        <w:t>最早给出了这一思路的数学表达。之后几十年，因子模型、期权定价、波动率建模等方法陆续成熟，量化分析在学术界和机构投资领域已经形成了比较完善的工具体系。但这些工具的使用门槛不低。个人投资者想自己验证一个策略，往往要分别准备代码编辑器、回测框架和行情数据接口，搭建环境本身就要消耗不少精力。近年来机器学习被引入资产定价领域，多种非线性模型的组合方案在收益预测精度上已优于传统线性模型</w:t>
      </w:r>
      <w:hyperlink w:anchor="bm_ref_2" w:history="1">
        <w:r>
          <w:rPr>
            <w:rFonts w:eastAsia="宋体" w:ascii="Times New Roman" w:hAnsi="Times New Roman"/>
            <w:sz w:val="15"/>
            <w:szCs w:val="15"/>
            <w:vertAlign w:val="superscript"/>
            <w:position w:val="6"/>
          </w:rPr>
          <w:t xml:space="preserve">[2]</w:t>
        </w:r>
      </w:hyperlink>
      <w:r>
        <w:rPr>
          <w:rFonts w:ascii="Times New Roman" w:hAnsi="Times New Roman" w:eastAsia="宋体"/>
          <w:b w:val="0"/>
          <w:color w:val="000000"/>
          <w:sz w:val="28"/>
        </w:rPr>
        <w:t>，分析手段丰富了，需要对接的工具也随之增多。对个人投资者而言，缺的不是某一个算法或某一个指标，而是一个能在同一个环境里完成策略编写、回测验证和智能分析的集成平台。 除了工具门槛，流程割裂是另一个实际问题。写策略用一个工具，跑回测换另一个，做AI分析还得去对接第三方接口，三个环节各有各的数据格式，中间并不互通。由此带来一个具体的麻烦：回测跑的那份行情数据和分析模块引用的数据可能根本不是同一份。研究者拿到一条买入建议后，想追查它是看了哪段行情、参考了哪些技术指标，却发现数据链路是断开的。比起操作上的来回切换，更大的问题在于分析结论缺少可追溯的依据——研究者没有办法验证一条建议到底有多可靠。 针对上述两个问题，我设计了一套基于Vue3和多智能体协同的量化交易分析系统，核心目标是让策略编写、回测验证和AI分析在同一个系统内、用同一套数据运行。系统按事件驱动方式组织流程：用户提交一段策略代码后，适配器先识别它属于哪种语言——Python、​JavaScript或通达信公式——并自动生成可执行的配置文件。配置就绪后触发回测引擎，在历史行情上逐日撮合并计算收益率、最大回撤、夏普比率等风险收益指标。回测完成后，结果分发给六个角色不同的智能体，分别从市场趋势、技术面、基本面、新闻情绪、风险控制、策略执行六个维度给出判断，最后按各角色的历史准确率加权融合为一条综合建议。每个环节的输入和输出都保留了结构化记录，研究者拿到建议后可以反向追溯到对应的回测数据和原始策略代码。 数据连续性方面也做了多级保护。行情数据的查询路径分四级：先查Redis内存缓存，未命中则查PostgreSQL历史库，历史库数据不足时从外部行情接口拉取，外部接口全部不可用时生成带有模拟标记的增强数据作为兜底。之所以设计四级回退，不是为了让每次查询都拿到最优数据，而是为了确保分析流程不会因为某一个数据源临时故障就整体中断。智能分析环节的思路类似。默认由本地的XGBoost模型完成推理；本地超时时切换到在线大模型做协同分析；在线也不可用则返回结构完整的兜底结论。这样处理后，即使外部依赖出现波动，用户依然能在合理时间内看到分析结果。 论文后续内容按以下顺序展开：第1章介绍系统的整体定位与任务分解，第2章梳理技术选型与理论依据，第3章给出功能需求与数据约束，第4章展开系统设计（涵盖策略适配、多智能体协同、数据库结构与URL路由），第5章呈现各模块的工程实现细节，第6章说明测试方法与部署验证，第7章做总结和展望。</w:t>
      </w:r>
    </w:p>
    <w:p>
      <w:pPr>
        <w:spacing w:lineRule="exact" w:line="440" w:before="0" w:after="0"/>
        <w:jc w:val="left"/>
      </w:pPr>
    </w:p>
    <w:p>
      <w:pPr>
        <w:spacing w:lineRule="exact" w:line="440" w:before="0" w:after="0"/>
        <w:jc w:val="left"/>
        <w:outlineLvl w:val="0"/>
      </w:pPr>
      <w:bookmarkStart w:id="4" w:name="bm_h_0002"/>
      <w:r>
        <w:rPr>
          <w:rFonts w:ascii="Times New Roman" w:hAnsi="Times New Roman" w:eastAsia="黑体"/>
          <w:b w:val="0"/>
          <w:color w:val="000000"/>
          <w:sz w:val="30"/>
        </w:rPr>
        <w:t>1 系统概括</w:t>
      </w:r>
      <w:bookmarkEnd w:id="4"/>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我把这套系统的工作拆成五条线来组织：策略适配、回测评估、多智能体协同分析、数据连续性保障、可复现部署。这五件事不是平行堆在一起的功能列表，而是沿着一条事件驱动的主干依次串联——策略进来之后先经过识别和配置，配置好了进入回测，回测跑完触发协同分析，分析结果和过程数据一起呈现在工作台上。每个环节的输出就是下一个环节的输入，断了哪一段都接不上后面。</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w:t>
      </w:r>
      <w:r>
        <w:rPr>
          <w:rFonts w:ascii="Times New Roman" w:hAnsi="Times New Roman" w:eastAsia="宋体"/>
          <w:b w:val="0"/>
          <w:color w:val="000000"/>
          <w:sz w:val="28"/>
        </w:rPr>
        <w:fldChar w:fldCharType="end"/>
      </w:r>
      <w:r>
        <w:rPr>
          <w:rFonts w:ascii="Times New Roman" w:hAnsi="Times New Roman" w:eastAsia="宋体"/>
          <w:b w:val="0"/>
          <w:color w:val="000000"/>
          <w:sz w:val="28"/>
        </w:rPr>
        <w:t>把这条路径画了出来。</w:t>
      </w:r>
    </w:p>
    <w:p>
      <w:pPr>
        <w:pStyle w:val="BodyText"/>
        <w:spacing w:before="120" w:after="0"/>
        <w:ind w:firstLine="0" w:left="0" w:right="0"/>
        <w:jc w:val="center"/>
      </w:pPr>
      <w:r>
        <w:drawing>
          <wp:inline xmlns:a="http://schemas.openxmlformats.org/drawingml/2006/main" xmlns:pic="http://schemas.openxmlformats.org/drawingml/2006/picture">
            <wp:extent cx="5400000" cy="3177474"/>
            <wp:docPr id="1" name="Picture 1"/>
            <wp:cNvGraphicFramePr>
              <a:graphicFrameLocks noChangeAspect="1"/>
            </wp:cNvGraphicFramePr>
            <a:graphic>
              <a:graphicData uri="http://schemas.openxmlformats.org/drawingml/2006/picture">
                <pic:pic>
                  <pic:nvPicPr>
                    <pic:cNvPr id="0" name="fig1_2_research_path.png"/>
                    <pic:cNvPicPr/>
                  </pic:nvPicPr>
                  <pic:blipFill>
                    <a:blip r:embed="rId9"/>
                    <a:stretch>
                      <a:fillRect/>
                    </a:stretch>
                  </pic:blipFill>
                  <pic:spPr>
                    <a:xfrm>
                      <a:off x="0" y="0"/>
                      <a:ext cx="5400000" cy="3177474"/>
                    </a:xfrm>
                    <a:prstGeom prst="rect"/>
                  </pic:spPr>
                </pic:pic>
              </a:graphicData>
            </a:graphic>
          </wp:inline>
        </w:drawing>
      </w:r>
    </w:p>
    <w:p>
      <w:pPr>
        <w:spacing w:lineRule="exact" w:line="320" w:before="40" w:after="120"/>
        <w:jc w:val="center"/>
      </w:pPr>
      <w:bookmarkStart w:id="40" w:name="bm_fig_1"/>
      <w:r>
        <w:rPr>
          <w:rFonts w:ascii="Times New Roman" w:hAnsi="Times New Roman" w:eastAsia="黑体"/>
          <w:b w:val="0"/>
          <w:color w:val="000000"/>
          <w:sz w:val="24"/>
        </w:rPr>
        <w:t>图1</w:t>
      </w:r>
      <w:bookmarkEnd w:id="40"/>
      <w:r>
        <w:rPr>
          <w:rFonts w:ascii="Times New Roman" w:hAnsi="Times New Roman" w:eastAsia="黑体"/>
          <w:b w:val="0"/>
          <w:color w:val="000000"/>
          <w:sz w:val="24"/>
        </w:rPr>
        <w:t xml:space="preserve"> 系统研究路径</w:t>
      </w:r>
    </w:p>
    <w:p>
      <w:pPr>
        <w:spacing w:lineRule="exact" w:line="440" w:before="0" w:after="0"/>
        <w:ind w:firstLine="560"/>
        <w:jc w:val="both"/>
      </w:pPr>
      <w:r>
        <w:rPr>
          <w:rFonts w:ascii="Times New Roman" w:hAnsi="Times New Roman" w:eastAsia="宋体"/>
          <w:b w:val="0"/>
          <w:color w:val="000000"/>
          <w:sz w:val="28"/>
        </w:rPr>
        <w:t>主流程按事件顺序推进：策略提交后先触发识别处理，产出结构化配置；配置就绪触发回测计算，产出收益与风险指标；回测完成触发协同分析，由六个角色智能体各自给出判断并融合为综合建议；最终结果连同过程记录一并在工作台上展示。流程中任何一个环节出现超时或异常，都有对应的回退机制兜底，不让整条链路卡住。要把这条流程真正跑起来，还得看各模块之间怎么分工、怎么通信。</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图2</w:t>
      </w:r>
      <w:r>
        <w:rPr>
          <w:rFonts w:ascii="Times New Roman" w:hAnsi="Times New Roman" w:eastAsia="宋体"/>
          <w:b w:val="0"/>
          <w:color w:val="000000"/>
          <w:sz w:val="28"/>
        </w:rPr>
        <w:fldChar w:fldCharType="end"/>
      </w:r>
      <w:r>
        <w:rPr>
          <w:rFonts w:ascii="Times New Roman" w:hAnsi="Times New Roman" w:eastAsia="宋体"/>
          <w:b w:val="0"/>
          <w:color w:val="000000"/>
          <w:sz w:val="28"/>
        </w:rPr>
        <w:t>从分层视角展示了系统的整体架构。</w:t>
      </w:r>
    </w:p>
    <w:p>
      <w:pPr>
        <w:pStyle w:val="BodyText"/>
        <w:spacing w:before="120" w:after="0"/>
        <w:ind w:firstLine="0" w:left="0" w:right="0"/>
        <w:jc w:val="center"/>
      </w:pPr>
      <w:r>
        <w:drawing>
          <wp:inline xmlns:a="http://schemas.openxmlformats.org/drawingml/2006/main" xmlns:pic="http://schemas.openxmlformats.org/drawingml/2006/picture">
            <wp:extent cx="5400000" cy="1763041"/>
            <wp:docPr id="2" name="Picture 2"/>
            <wp:cNvGraphicFramePr>
              <a:graphicFrameLocks noChangeAspect="1"/>
            </wp:cNvGraphicFramePr>
            <a:graphic>
              <a:graphicData uri="http://schemas.openxmlformats.org/drawingml/2006/picture">
                <pic:pic>
                  <pic:nvPicPr>
                    <pic:cNvPr id="0" name="fig1_2_system_architecture_flow.png"/>
                    <pic:cNvPicPr/>
                  </pic:nvPicPr>
                  <pic:blipFill>
                    <a:blip r:embed="rId10"/>
                    <a:stretch>
                      <a:fillRect/>
                    </a:stretch>
                  </pic:blipFill>
                  <pic:spPr>
                    <a:xfrm>
                      <a:off x="0" y="0"/>
                      <a:ext cx="5400000" cy="1763041"/>
                    </a:xfrm>
                    <a:prstGeom prst="rect"/>
                  </pic:spPr>
                </pic:pic>
              </a:graphicData>
            </a:graphic>
          </wp:inline>
        </w:drawing>
      </w:r>
    </w:p>
    <w:p>
      <w:pPr>
        <w:spacing w:lineRule="exact" w:line="320" w:before="40" w:after="120"/>
        <w:jc w:val="center"/>
      </w:pPr>
      <w:bookmarkStart w:id="41" w:name="bm_fig_2"/>
      <w:r>
        <w:rPr>
          <w:rFonts w:ascii="Times New Roman" w:hAnsi="Times New Roman" w:eastAsia="黑体"/>
          <w:b w:val="0"/>
          <w:color w:val="000000"/>
          <w:sz w:val="24"/>
        </w:rPr>
        <w:t>图2</w:t>
      </w:r>
      <w:bookmarkEnd w:id="41"/>
      <w:r>
        <w:rPr>
          <w:rFonts w:ascii="Times New Roman" w:hAnsi="Times New Roman" w:eastAsia="黑体"/>
          <w:b w:val="0"/>
          <w:color w:val="000000"/>
          <w:sz w:val="24"/>
        </w:rPr>
        <w:t xml:space="preserve"> 系统整体架构</w:t>
      </w:r>
    </w:p>
    <w:p>
      <w:pPr>
        <w:spacing w:lineRule="exact" w:line="440" w:before="0" w:after="0"/>
        <w:ind w:firstLine="560"/>
        <w:jc w:val="both"/>
      </w:pPr>
      <w:r>
        <w:rPr>
          <w:rFonts w:ascii="Times New Roman" w:hAnsi="Times New Roman" w:eastAsia="宋体"/>
          <w:b w:val="0"/>
          <w:color w:val="000000"/>
          <w:sz w:val="28"/>
        </w:rPr>
        <w:t>前端交互层基于Vue3搭建，承载策略管理、回测分析和交易操作界面，通过REST API和WebSocket两条通道与后端通信。后端服务层以Node.js为核心，把认证、策略适配、回测评估、智能分析等模块组织在统一的路由和中间件体系下。数据层由PostgreSQL、​Redis和SQLite三者协同——PostgreSQL负责主数据持久化，Redis做行情缓存和会话热点，SQLite在网络不通时提供本地降级能力。最外层是Docker Compose编排的容器化部署，统一管理启动顺序和环境依赖。 各层的职责划分清楚之后，还缺一样东西：怎么衡量这条流程到底跑得好不好。光说"能用"不行，得有一个可拆解的度量标准。我用端到端时延来作为度量标准。</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473684"/>
            <wp:docPr id="3" name="Picture 3"/>
            <wp:cNvGraphicFramePr>
              <a:graphicFrameLocks noChangeAspect="1"/>
            </wp:cNvGraphicFramePr>
            <a:graphic>
              <a:graphicData uri="http://schemas.openxmlformats.org/drawingml/2006/picture">
                <pic:pic>
                  <pic:nvPicPr>
                    <pic:cNvPr id="0" name="formula_1.png"/>
                    <pic:cNvPicPr/>
                  </pic:nvPicPr>
                  <pic:blipFill>
                    <a:blip r:embed="rId11"/>
                    <a:stretch>
                      <a:fillRect/>
                    </a:stretch>
                  </pic:blipFill>
                  <pic:spPr>
                    <a:xfrm>
                      <a:off x="0" y="0"/>
                      <a:ext cx="3600000" cy="473684"/>
                    </a:xfrm>
                    <a:prstGeom prst="rect"/>
                  </pic:spPr>
                </pic:pic>
              </a:graphicData>
            </a:graphic>
          </wp:inline>
        </w:drawing>
      </w:r>
      <w:r>
        <w:tab/>
      </w:r>
      <w:bookmarkStart w:id="42" w:name="bm_eq_1"/>
      <w:r>
        <w:rPr>
          <w:rFonts w:ascii="Times New Roman" w:hAnsi="Times New Roman" w:eastAsia="宋体"/>
          <w:b w:val="0"/>
          <w:color w:val="000000"/>
          <w:sz w:val="24"/>
        </w:rPr>
        <w:t>（公式1）</w:t>
      </w:r>
      <w:bookmarkEnd w:id="42"/>
    </w:p>
    <w:p>
      <w:pPr>
        <w:spacing w:lineRule="exact" w:line="440" w:before="0" w:after="40"/>
        <w:jc w:val="center"/>
      </w:pPr>
      <w:r>
        <w:rPr>
          <w:rFonts w:ascii="Times New Roman" w:hAnsi="Times New Roman" w:eastAsia="宋体"/>
          <w:b w:val="0"/>
          <w:color w:val="000000"/>
          <w:sz w:val="24"/>
        </w:rPr>
        <w:t>公式1中：</w:t>
      </w:r>
      <w:r>
        <w:rPr>
          <w:rFonts w:ascii="Times New Roman" w:hAnsi="Times New Roman" w:eastAsia="宋体"/>
          <w:b w:val="0"/>
          <w:color w:val="000000"/>
          <w:sz w:val="24"/>
        </w:rPr>
        <w:t>T_total 为一次完整分析流程的总耗时；T_auth 为身份校验耗时；T_parse 为策略识别与参数配置耗时；T_backtest 为回测计算耗时；T_agent 为多智能体分析耗时；T_render 为前端渲染耗时。把总时延拆成五段之后，哪个环节拖慢了整体就能直接定位，后续优化也有了具体的方向。</w:t>
      </w:r>
    </w:p>
    <w:p>
      <w:pPr>
        <w:spacing w:lineRule="exact" w:line="440" w:before="120" w:after="120"/>
        <w:jc w:val="left"/>
        <w:outlineLvl w:val="1"/>
      </w:pPr>
      <w:bookmarkStart w:id="5" w:name="bm_h_0003"/>
      <w:r>
        <w:rPr>
          <w:rFonts w:ascii="Times New Roman" w:hAnsi="Times New Roman" w:eastAsia="黑体"/>
          <w:b w:val="0"/>
          <w:color w:val="000000"/>
          <w:sz w:val="28"/>
        </w:rPr>
        <w:t>1.1 系统开发的意义</w:t>
      </w:r>
      <w:bookmarkEnd w:id="5"/>
    </w:p>
    <w:p>
      <w:pPr>
        <w:spacing w:lineRule="exact" w:line="440" w:before="0" w:after="0"/>
        <w:ind w:firstLine="560"/>
        <w:jc w:val="both"/>
      </w:pPr>
      <w:r>
        <w:rPr>
          <w:rFonts w:ascii="Times New Roman" w:hAnsi="Times New Roman" w:eastAsia="宋体"/>
          <w:b w:val="0"/>
          <w:color w:val="000000"/>
          <w:sz w:val="28"/>
        </w:rPr>
        <w:t>这套系统最直接的价值，是把原本散落在不同工具里的三件事——策略编写、回测验证、AI辅助分析——整合到同一个操作环境中。对个人投资者来说，不用再为了跑一次完整的分析流程在三四个工具之间来回切换，参数也不用手工搬运，操作成本实实在在降下来了。 整合之后还有一个附带的好处：分析结论变得可追溯。策略代码、回测数据和智能体的分析依据共享同一条数据链路，研究者拿到一条综合建议后，可以沿着链路往回查——这条建议是哪些角色给出的、每个角色看的是什么指标、指标背后的行情数据来自哪里。用分散工具的时候，这种追溯几乎做不到。 不过系统的能力边界也必须讲清楚。交易执行目前走的是模拟链路，并没有对接真实券商接口，所以系统定位是"分析工具"而不是"交易终端"。本文只讨论已经落地的能力，不把待配置功能写成既有成果——这样处理是为了让系统描述和工程事实保持一致，结论的适用范围也更准确。</w:t>
      </w:r>
    </w:p>
    <w:p>
      <w:pPr>
        <w:spacing w:lineRule="exact" w:line="440" w:before="120" w:after="120"/>
        <w:jc w:val="left"/>
        <w:outlineLvl w:val="1"/>
      </w:pPr>
      <w:bookmarkStart w:id="6" w:name="bm_h_0004"/>
      <w:r>
        <w:rPr>
          <w:rFonts w:ascii="Times New Roman" w:hAnsi="Times New Roman" w:eastAsia="黑体"/>
          <w:b w:val="0"/>
          <w:color w:val="000000"/>
          <w:sz w:val="28"/>
        </w:rPr>
        <w:t>1.2 主要任务和研究内容</w:t>
      </w:r>
      <w:bookmarkEnd w:id="6"/>
    </w:p>
    <w:p>
      <w:pPr>
        <w:spacing w:lineRule="exact" w:line="440" w:before="0" w:after="0"/>
        <w:ind w:firstLine="560"/>
        <w:jc w:val="both"/>
      </w:pPr>
      <w:r>
        <w:rPr>
          <w:rFonts w:ascii="Times New Roman" w:hAnsi="Times New Roman" w:eastAsia="宋体"/>
          <w:b w:val="0"/>
          <w:color w:val="000000"/>
          <w:sz w:val="28"/>
        </w:rPr>
        <w:t>系统任务不是按页面菜单拆的，而是沿着策略从输入到分析输出的生命周期来拆的。归纳下来六类：统一服务入口、策略自动适配、回测评估、协同分析、数据连续性治理、部署复现。每类任务要做什么、怎么做、做出来是什么样，我放在</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w:t>
      </w:r>
      <w:r>
        <w:rPr>
          <w:rFonts w:ascii="Times New Roman" w:hAnsi="Times New Roman" w:eastAsia="宋体"/>
          <w:b w:val="0"/>
          <w:color w:val="000000"/>
          <w:sz w:val="28"/>
        </w:rPr>
        <w:fldChar w:fldCharType="end"/>
      </w:r>
      <w:r>
        <w:rPr>
          <w:rFonts w:ascii="Times New Roman" w:hAnsi="Times New Roman" w:eastAsia="宋体"/>
          <w:b w:val="0"/>
          <w:color w:val="000000"/>
          <w:sz w:val="28"/>
        </w:rPr>
        <w:t>里做了对齐：</w:t>
      </w:r>
    </w:p>
    <w:p>
      <w:pPr>
        <w:spacing w:lineRule="exact" w:line="360" w:before="120" w:after="40"/>
        <w:jc w:val="center"/>
        <w:keepNext/>
      </w:pPr>
      <w:bookmarkStart w:id="43" w:name="bm_tbl_1"/>
      <w:r>
        <w:rPr>
          <w:rFonts w:ascii="Times New Roman" w:hAnsi="Times New Roman" w:eastAsia="宋体"/>
          <w:b w:val="0"/>
          <w:color w:val="000000"/>
          <w:sz w:val="24"/>
        </w:rPr>
        <w:t>表1</w:t>
      </w:r>
      <w:bookmarkEnd w:id="43"/>
      <w:r>
        <w:rPr>
          <w:rFonts w:ascii="Times New Roman" w:hAnsi="Times New Roman" w:eastAsia="宋体"/>
          <w:b w:val="0"/>
          <w:color w:val="000000"/>
          <w:sz w:val="24"/>
        </w:rPr>
        <w:t xml:space="preserve"> 系统任务与实现映射</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任务</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目标能力</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实现要点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输出结果</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统一服务入口</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接口规范与访问可控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鉴权、限流、审计统一接入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稳定的服务边界与请求追踪链</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策略自动适配</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降低异构策略接入成本</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语言识别、类型判定、参数生成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可执行的结构化策略配置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回测评估</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统一收益风险计算口径</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历史撮合与指标计算</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收益率、回撤、夏普比率、胜率</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协同分析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输出有依据的分析建议</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多角色分析、加权融合、回退兜底</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综合建议与分角色分析依据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数据连续性治理</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保障分析链路数据不断流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缓存、多源拉取、失败回退、模拟兜底</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连续数据流与可追踪来源标记</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部署复现</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保证跨环境运行一致</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Docker编排与依赖顺序控制</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可重复部署与稳定启动行为</w:t>
            </w:r>
          </w:p>
        </w:tc>
      </w:tr>
    </w:tbl>
    <w:p>
      <w:pPr>
        <w:spacing w:lineRule="exact" w:line="440" w:before="0" w:after="0"/>
        <w:ind w:firstLine="560"/>
        <w:jc w:val="both"/>
      </w:pPr>
      <w:r>
        <w:rPr>
          <w:rFonts w:ascii="Times New Roman" w:hAnsi="Times New Roman" w:eastAsia="宋体"/>
          <w:b w:val="0"/>
          <w:color w:val="000000"/>
          <w:sz w:val="28"/>
        </w:rPr>
        <w:t>六类任务归到一起看，指向同一个目标：让量化分析从"策略能跑"推进到"分析有据、结论可查"。任务边界定下来之后，技术上怎么选型就不再是"什么流行用什么"的问题了，而是围绕上面这六条线的实际需求来做取舍。 代码块1展示了后端服务启动时的模块注册逻辑——也就是六类任务在工程层面的入口：</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modules = [  // 服务模块注册列表</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name: 'auth', path: '/api/auth' },  // 认证与访问控制</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name: 'strategies', path: '/api/strategies' },  // 策略管理与适配</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name: 'backtests', path: '/api/backtests' },  // 回测评估</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name: 'analysis', path: '/api/analysis' },  // 智能协同分析</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name: 'market', path: '/api/market' },  // 行情数据治理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 各模块按统一路由前缀注册</w:t>
            </w:r>
          </w:p>
        </w:tc>
      </w:tr>
    </w:tbl>
    <w:p>
      <w:pPr>
        <w:spacing w:lineRule="exact" w:line="440" w:before="0" w:after="0"/>
        <w:ind w:firstLine="560"/>
        <w:jc w:val="both"/>
      </w:pPr>
      <w:r>
        <w:rPr>
          <w:rFonts w:ascii="Times New Roman" w:hAnsi="Times New Roman" w:eastAsia="宋体"/>
          <w:b w:val="0"/>
          <w:color w:val="000000"/>
          <w:sz w:val="28"/>
        </w:rPr>
        <w:t>代码块1展示了后端启动时如何将认证、策略、回测、分析和行情五个核心模块挂载到统一的API路由前缀下，每个模块对应</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w:t>
      </w:r>
      <w:r>
        <w:rPr>
          <w:rFonts w:ascii="Times New Roman" w:hAnsi="Times New Roman" w:eastAsia="宋体"/>
          <w:b w:val="0"/>
          <w:color w:val="000000"/>
          <w:sz w:val="28"/>
        </w:rPr>
        <w:fldChar w:fldCharType="end"/>
      </w:r>
      <w:r>
        <w:rPr>
          <w:rFonts w:ascii="Times New Roman" w:hAnsi="Times New Roman" w:eastAsia="宋体"/>
          <w:b w:val="0"/>
          <w:color w:val="000000"/>
          <w:sz w:val="28"/>
        </w:rPr>
        <w:t>中一类或两类系统任务，请求进入后经过鉴权、限流、审计中间件再分发到具体处理逻辑。 技术选型的具体对比和理论依据，放在下一章展开。</w:t>
      </w:r>
    </w:p>
    <w:p>
      <w:pPr>
        <w:spacing w:lineRule="exact" w:line="440" w:before="0" w:after="0"/>
        <w:jc w:val="left"/>
      </w:pPr>
    </w:p>
    <w:p>
      <w:pPr>
        <w:spacing w:lineRule="exact" w:line="440" w:before="0" w:after="0"/>
        <w:jc w:val="left"/>
        <w:outlineLvl w:val="0"/>
      </w:pPr>
      <w:bookmarkStart w:id="7" w:name="bm_h_0005"/>
      <w:r>
        <w:rPr>
          <w:rFonts w:ascii="Times New Roman" w:hAnsi="Times New Roman" w:eastAsia="黑体"/>
          <w:b w:val="0"/>
          <w:color w:val="000000"/>
          <w:sz w:val="30"/>
        </w:rPr>
        <w:t>2 相关技术与理论</w:t>
      </w:r>
      <w:bookmarkEnd w:id="7"/>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上一章把系统任务拆成了六条线，这一章回答一个前置问题：每条线选什么技术来撑，为什么选它而不选别的。技术选型不能只看"哪个热门"，得看它能不能解决这条线上的具体问题。下面按前端、后端、存储、通信、智能分析和部署六个方向逐一展开。</w:t>
      </w:r>
    </w:p>
    <w:p>
      <w:pPr>
        <w:spacing w:lineRule="exact" w:line="440" w:before="120" w:after="120"/>
        <w:jc w:val="left"/>
        <w:outlineLvl w:val="1"/>
      </w:pPr>
      <w:bookmarkStart w:id="8" w:name="bm_h_0006"/>
      <w:r>
        <w:rPr>
          <w:rFonts w:ascii="Times New Roman" w:hAnsi="Times New Roman" w:eastAsia="黑体"/>
          <w:b w:val="0"/>
          <w:color w:val="000000"/>
          <w:sz w:val="28"/>
        </w:rPr>
        <w:t>2.1 前端技术栈</w:t>
      </w:r>
      <w:bookmarkEnd w:id="8"/>
    </w:p>
    <w:p>
      <w:pPr>
        <w:spacing w:lineRule="exact" w:line="440" w:before="0" w:after="0"/>
        <w:ind w:firstLine="560"/>
        <w:jc w:val="both"/>
      </w:pPr>
      <w:r>
        <w:rPr>
          <w:rFonts w:ascii="Times New Roman" w:hAnsi="Times New Roman" w:eastAsia="宋体"/>
          <w:b w:val="0"/>
          <w:color w:val="000000"/>
          <w:sz w:val="28"/>
        </w:rPr>
        <w:t>前端要解决的核心问题是：行情数据高频刷新的时候，页面不能卡，也不能整棵组件树跟着一起重新渲染。 Vue3的响应式系统在底层通过JavaScript的Proxy对象追踪数据依赖关系，某个变量发生变化时，只有引用了该变量的组件会重新渲染，其余组件不受影响。这种细粒度更新对本系统很关键——行情数据每秒都在刷新，如果每次变动都触发整棵组件树重新渲染，界面会出现明显卡顿。React的更新策略不同，它通过虚拟DOM的差量比对来确定需要更新的节点，但在高频小幅变动场景下，差量计算本身会带来额外开销。Angular工程化程度较高，不过框架本身偏重，打包体积大，学习周期对本项目的开发节奏来说也不太合适。三者的对比见</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spacing w:lineRule="exact" w:line="360" w:before="120" w:after="40"/>
        <w:jc w:val="center"/>
        <w:keepNext/>
      </w:pPr>
      <w:bookmarkStart w:id="44" w:name="bm_tbl_2"/>
      <w:r>
        <w:rPr>
          <w:rFonts w:ascii="Times New Roman" w:hAnsi="Times New Roman" w:eastAsia="宋体"/>
          <w:b w:val="0"/>
          <w:color w:val="000000"/>
          <w:sz w:val="24"/>
        </w:rPr>
        <w:t>表2</w:t>
      </w:r>
      <w:bookmarkEnd w:id="44"/>
      <w:r>
        <w:rPr>
          <w:rFonts w:ascii="Times New Roman" w:hAnsi="Times New Roman" w:eastAsia="宋体"/>
          <w:b w:val="0"/>
          <w:color w:val="000000"/>
          <w:sz w:val="24"/>
        </w:rPr>
        <w:t xml:space="preserve"> 主流前端框架特性对比</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对比项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Vue3</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React</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Angular</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更新机制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Proxy细粒度追踪</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虚拟DOM差量比对</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脏检查+双向绑定</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状态管理</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Pinia（类型推导好）</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Redux/Zustand（需额外引入）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内置依赖注入</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学习曲线</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模板语法直观，上手快</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JSX灵活但心智负担重</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概念多，入门门槛高</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构建工具</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Vite即时热更新，体积小</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Webpack/Vite均可</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CLI构建，体积偏大</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组件库</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Element Plus覆盖度高</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Ant Design / MUI</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Angular Material</w:t>
            </w:r>
          </w:p>
        </w:tc>
      </w:tr>
    </w:tbl>
    <w:p>
      <w:pPr>
        <w:spacing w:lineRule="exact" w:line="440" w:before="0" w:after="0"/>
        <w:ind w:firstLine="560"/>
        <w:jc w:val="both"/>
      </w:pPr>
      <w:r>
        <w:rPr>
          <w:rFonts w:ascii="Times New Roman" w:hAnsi="Times New Roman" w:eastAsia="宋体"/>
          <w:b w:val="0"/>
          <w:color w:val="000000"/>
          <w:sz w:val="28"/>
        </w:rPr>
        <w:t>最终选Vue3的理由很直接：响应式粒度够细，Pinia的状态拆分能力和Element Plus的表单、表格组件覆盖度都与量化分析系统的迭代节奏匹配，再加上Vite的构建速度和lightweight-charts的K线渲染能力，前端这一层就齐了。</w:t>
      </w:r>
    </w:p>
    <w:p>
      <w:pPr>
        <w:spacing w:lineRule="exact" w:line="440" w:before="120" w:after="120"/>
        <w:jc w:val="left"/>
        <w:outlineLvl w:val="1"/>
      </w:pPr>
      <w:bookmarkStart w:id="9" w:name="bm_h_0007"/>
      <w:r>
        <w:rPr>
          <w:rFonts w:ascii="Times New Roman" w:hAnsi="Times New Roman" w:eastAsia="黑体"/>
          <w:b w:val="0"/>
          <w:color w:val="000000"/>
          <w:sz w:val="28"/>
        </w:rPr>
        <w:t>2.2 后端服务框架</w:t>
      </w:r>
      <w:bookmarkEnd w:id="9"/>
    </w:p>
    <w:p>
      <w:pPr>
        <w:spacing w:lineRule="exact" w:line="440" w:before="0" w:after="0"/>
        <w:ind w:firstLine="560"/>
        <w:jc w:val="both"/>
      </w:pPr>
      <w:r>
        <w:rPr>
          <w:rFonts w:ascii="Times New Roman" w:hAnsi="Times New Roman" w:eastAsia="宋体"/>
          <w:b w:val="0"/>
          <w:color w:val="000000"/>
          <w:sz w:val="28"/>
        </w:rPr>
        <w:t>后端要做的事情是：把策略适配、回测评估、智能分析这些模块组织在统一入口下，请求进来之后按规则有序流转，出了问题能定位到具体环节。 Spring Boot是另一种常见选择。它基于JVM运行，企业级生态成熟，类型安全强，但启动时间长、内存占用高，对本系统这种轻量级单机部署场景来说资源开销偏大。Django以Python为基础，ORM和管理后台开箱即用，不过它的同步I/O模型在大量并发长连接（比如行情推送）场景下扛不住，得额外引入Channels做异步，架构复杂度一下就上去了。Node.js的事件循环模型——可以类比为"一个人同时看着好几口锅，哪口好了处理哪口，而不是一口一口排队等"——天然适合高并发连接和实时推送。Express的中间件链机制又允许把鉴权、限流、审计这些横切逻辑按需组合而不侵入业务代码。再加上前后端统一用JavaScript的工程便利，选Node.js和Express就是比较自然的结论了。RESTful接口规范将前端展示与后端逻辑解耦，使服务层可以独立演进</w:t>
      </w:r>
      <w:hyperlink w:anchor="bm_ref_3" w:history="1">
        <w:r>
          <w:rPr>
            <w:rFonts w:eastAsia="宋体" w:ascii="Times New Roman" w:hAnsi="Times New Roman"/>
            <w:sz w:val="15"/>
            <w:szCs w:val="15"/>
            <w:vertAlign w:val="superscript"/>
            <w:position w:val="6"/>
          </w:rPr>
          <w:t xml:space="preserve">[3]</w:t>
        </w:r>
      </w:hyperlink>
      <w:r>
        <w:rPr>
          <w:rFonts w:ascii="Times New Roman" w:hAnsi="Times New Roman" w:eastAsia="宋体"/>
          <w:b w:val="0"/>
          <w:color w:val="000000"/>
          <w:sz w:val="28"/>
        </w:rPr>
        <w:t>，系统据此设计了统一的API路由结构如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表3</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45" w:name="bm_tbl_3"/>
      <w:r>
        <w:rPr>
          <w:rFonts w:ascii="Times New Roman" w:hAnsi="Times New Roman" w:eastAsia="宋体"/>
          <w:b w:val="0"/>
          <w:color w:val="000000"/>
          <w:sz w:val="24"/>
        </w:rPr>
        <w:t>表3</w:t>
      </w:r>
      <w:bookmarkEnd w:id="45"/>
      <w:r>
        <w:rPr>
          <w:rFonts w:ascii="Times New Roman" w:hAnsi="Times New Roman" w:eastAsia="宋体"/>
          <w:b w:val="0"/>
          <w:color w:val="000000"/>
          <w:sz w:val="24"/>
        </w:rPr>
        <w:t xml:space="preserve"> 后端框架选型对比</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对比项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Node.js + Express</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Spring Boot</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Django</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I/O模型</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事件循环，非阻塞</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多线程阻塞（可引入WebFlux）</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同步阻塞（需额外异步框架）</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启动速度</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快（秒级）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慢（十秒级）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实时通信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ws库原生支持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需Spring WebSocket</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需Django Channels</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中间件机制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按需组合，灵活</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过滤器链，配置较重</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中间件装饰器</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前后端语言统一</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JavaScript/TypeScript</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Java/Kotlin</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Python</w:t>
            </w:r>
          </w:p>
        </w:tc>
      </w:tr>
    </w:tbl>
    <w:p>
      <w:pPr>
        <w:spacing w:lineRule="exact" w:line="440" w:before="120" w:after="120"/>
        <w:jc w:val="left"/>
        <w:outlineLvl w:val="1"/>
      </w:pPr>
      <w:bookmarkStart w:id="10" w:name="bm_h_0008"/>
      <w:r>
        <w:rPr>
          <w:rFonts w:ascii="Times New Roman" w:hAnsi="Times New Roman" w:eastAsia="黑体"/>
          <w:b w:val="0"/>
          <w:color w:val="000000"/>
          <w:sz w:val="28"/>
        </w:rPr>
        <w:t>2.3 数据存储与缓存</w:t>
      </w:r>
      <w:bookmarkEnd w:id="10"/>
    </w:p>
    <w:p>
      <w:pPr>
        <w:spacing w:lineRule="exact" w:line="440" w:before="0" w:after="0"/>
        <w:ind w:firstLine="560"/>
        <w:jc w:val="both"/>
      </w:pPr>
      <w:r>
        <w:rPr>
          <w:rFonts w:ascii="Times New Roman" w:hAnsi="Times New Roman" w:eastAsia="宋体"/>
          <w:b w:val="0"/>
          <w:color w:val="000000"/>
          <w:sz w:val="28"/>
        </w:rPr>
        <w:t>数据层面临两类截然不同的存储需求。一类是回测记录、策略配置、交易明细等业务数据，它们需要持久化到磁盘并支持事后的关联查询与统计分析；另一类是行情快照、会话令牌等高频访问的热数据，若每次都走磁盘I/O会严重拖慢系统响应。针对这两类需求，本系统分别选用关系型数据库和内存缓存加以应对。</w:t>
      </w:r>
    </w:p>
    <w:p>
      <w:pPr>
        <w:spacing w:lineRule="exact" w:line="440" w:before="0" w:after="0"/>
        <w:ind w:firstLine="560"/>
        <w:jc w:val="both"/>
      </w:pPr>
      <w:r>
        <w:rPr>
          <w:rFonts w:ascii="Times New Roman" w:hAnsi="Times New Roman" w:eastAsia="宋体"/>
          <w:b w:val="0"/>
          <w:color w:val="000000"/>
          <w:sz w:val="28"/>
        </w:rPr>
        <w:t>关系型数据库方面，本系统选用PostgreSQL作为主库。回测记录、策略配置、交易明细等核心表存在频繁的并发读写，MySQL在读密集场景下表现尚可，但在涉及并发写入的复杂事务时，其默认隔离级别不如PostgreSQL严格</w:t>
      </w:r>
      <w:hyperlink w:anchor="bm_ref_4" w:history="1">
        <w:r>
          <w:rPr>
            <w:rFonts w:eastAsia="宋体" w:ascii="Times New Roman" w:hAnsi="Times New Roman"/>
            <w:sz w:val="15"/>
            <w:szCs w:val="15"/>
            <w:vertAlign w:val="superscript"/>
            <w:position w:val="6"/>
          </w:rPr>
          <w:t xml:space="preserve">[4]</w:t>
        </w:r>
      </w:hyperlink>
      <w:r>
        <w:rPr>
          <w:rFonts w:ascii="Times New Roman" w:hAnsi="Times New Roman" w:eastAsia="宋体"/>
          <w:b w:val="0"/>
          <w:color w:val="000000"/>
          <w:sz w:val="28"/>
        </w:rPr>
        <w:t>。此外，策略参数属于半结构化数据，PostgreSQL的JSONB字段可以直接存储并建立索引，无需为此额外建表；MySQL自5.7版本起虽然也支持JSON类型，但在索引能力和查询灵活性方面仍有差距。缓存层选用Redis而非Memcached，原因在于本系统的行情缓存依赖有序集合，会话管理依赖哈希结构，消息推送依赖发布订阅通道，Memcached的纯键值模型无法覆盖上述需求。ORM层采用Sequelize，其在Node.js生态中的数据库迁移工具比TypeORM更为完备，与Express框架的集成步骤也更少，各方案的具体对比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表4</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46" w:name="bm_tbl_4"/>
      <w:r>
        <w:rPr>
          <w:rFonts w:ascii="Times New Roman" w:hAnsi="Times New Roman" w:eastAsia="宋体"/>
          <w:b w:val="0"/>
          <w:color w:val="000000"/>
          <w:sz w:val="24"/>
        </w:rPr>
        <w:t>表4</w:t>
      </w:r>
      <w:bookmarkEnd w:id="46"/>
      <w:r>
        <w:rPr>
          <w:rFonts w:ascii="Times New Roman" w:hAnsi="Times New Roman" w:eastAsia="宋体"/>
          <w:b w:val="0"/>
          <w:color w:val="000000"/>
          <w:sz w:val="24"/>
        </w:rPr>
        <w:t xml:space="preserve"> 数据存储方案对比</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对比项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PostgreSQL</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MySQL</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SQLite</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事务隔离</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MVCC，隔离级别完整</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InnoDB支持，但默认较松</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WAL模式，单写多读</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数据类型</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JSONB、数组、范围类型</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JSON（5.7+）</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基础类型</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并发写入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强</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弱（单写锁）</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本系统角色</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主库，承载全部核心数据</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未采用</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本地降级备份</w:t>
            </w:r>
          </w:p>
        </w:tc>
      </w:tr>
    </w:tbl>
    <w:p>
      <w:pPr>
        <w:spacing w:lineRule="exact" w:line="440" w:before="0" w:after="0"/>
        <w:ind w:firstLine="560"/>
        <w:jc w:val="both"/>
      </w:pPr>
      <w:r>
        <w:rPr>
          <w:rFonts w:ascii="Times New Roman" w:hAnsi="Times New Roman" w:eastAsia="宋体"/>
          <w:b w:val="0"/>
          <w:color w:val="000000"/>
          <w:sz w:val="28"/>
        </w:rPr>
        <w:t>三者在系统中不是互相替代的关系：PostgreSQL做主力存储，Redis做热点缓存，SQLite在数据库连接不上时兜底。三层各管一段，数据既能长期留存也能快速访问。</w:t>
      </w:r>
    </w:p>
    <w:p>
      <w:pPr>
        <w:spacing w:lineRule="exact" w:line="440" w:before="120" w:after="120"/>
        <w:jc w:val="left"/>
        <w:outlineLvl w:val="1"/>
      </w:pPr>
      <w:bookmarkStart w:id="11" w:name="bm_h_0009"/>
      <w:r>
        <w:rPr>
          <w:rFonts w:ascii="Times New Roman" w:hAnsi="Times New Roman" w:eastAsia="黑体"/>
          <w:b w:val="0"/>
          <w:color w:val="000000"/>
          <w:sz w:val="28"/>
        </w:rPr>
        <w:t>2.4 实时通信机制</w:t>
      </w:r>
      <w:bookmarkEnd w:id="11"/>
    </w:p>
    <w:p>
      <w:pPr>
        <w:spacing w:lineRule="exact" w:line="440" w:before="0" w:after="0"/>
        <w:ind w:firstLine="560"/>
        <w:jc w:val="both"/>
      </w:pPr>
      <w:r>
        <w:rPr>
          <w:rFonts w:ascii="Times New Roman" w:hAnsi="Times New Roman" w:eastAsia="宋体"/>
          <w:b w:val="0"/>
          <w:color w:val="000000"/>
          <w:sz w:val="28"/>
        </w:rPr>
        <w:t>本系统有一个场景用普通的HTTP请求-响应模式处理不了：行情价格在持续变动，多智能体分析的进度也在变动，这些状态变化需要实时推送到前端界面，不能等用户手动刷新。 HTTP轮询让客户端每隔几百毫秒向服务端发一次请求，询问是否有新数据。做法简单，但延迟高且带宽浪费明显，不适合毫秒级行情推送。SSE（Server-Sent Events）允许服务端主动向客户端推送消息，延迟有所改善，问题在于它只支持服务端到客户端的单向通信，客户端要向服务端发送交易指令就得另开一条连接。WebSocket在一次握手之后建立全双工持久连接，双方可以随时互发消息。对本系统而言，行情推送属于下行需求，交易指令属于上行需求，WebSocket一条连接就能同时覆盖两个方向，不需要维护两套通信机制。这也是最终选用ws库搭建长连接通道的原因。</w:t>
      </w:r>
    </w:p>
    <w:p>
      <w:pPr>
        <w:spacing w:lineRule="exact" w:line="360" w:before="120" w:after="40"/>
        <w:jc w:val="center"/>
        <w:keepNext/>
      </w:pPr>
      <w:bookmarkStart w:id="47" w:name="bm_tbl_5"/>
      <w:r>
        <w:rPr>
          <w:rFonts w:ascii="Times New Roman" w:hAnsi="Times New Roman" w:eastAsia="宋体"/>
          <w:b w:val="0"/>
          <w:color w:val="000000"/>
          <w:sz w:val="24"/>
        </w:rPr>
        <w:t>表5</w:t>
      </w:r>
      <w:bookmarkEnd w:id="47"/>
      <w:r>
        <w:rPr>
          <w:rFonts w:ascii="Times New Roman" w:hAnsi="Times New Roman" w:eastAsia="宋体"/>
          <w:b w:val="0"/>
          <w:color w:val="000000"/>
          <w:sz w:val="24"/>
        </w:rPr>
        <w:t xml:space="preserve"> 实时通信方案对比</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对比项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HTTP轮询</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SSE</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WebSocket</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通信方向</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客户端→服务端（请求驱动）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服务端→客户端（单向推送）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双向全双工</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延迟</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高（取决于轮询间隔）</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较低</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最低</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连接开销</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每次新建连接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一次长连接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一次长连接</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适用场景</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低频更新</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通知、日志流</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行情推送+交易指令</w:t>
            </w:r>
          </w:p>
        </w:tc>
      </w:tr>
    </w:tbl>
    <w:p>
      <w:pPr>
        <w:spacing w:lineRule="exact" w:line="440" w:before="0" w:after="0"/>
        <w:ind w:firstLine="560"/>
        <w:jc w:val="both"/>
      </w:pPr>
      <w:r>
        <w:rPr>
          <w:rFonts w:ascii="Times New Roman" w:hAnsi="Times New Roman" w:eastAsia="宋体"/>
          <w:b w:val="0"/>
          <w:color w:val="000000"/>
          <w:sz w:val="28"/>
        </w:rPr>
        <w:t>系统基于ws库建立WebSocket长连接通道，消息路径遵循"先认证后订阅"——匿名连接不允许进入推送队列。行情刷新、分析状态变化和操作反馈都在同一条时间线上到达前端，用户不需要手动刷新。</w:t>
      </w:r>
    </w:p>
    <w:p>
      <w:pPr>
        <w:spacing w:lineRule="exact" w:line="440" w:before="120" w:after="120"/>
        <w:jc w:val="left"/>
        <w:outlineLvl w:val="1"/>
      </w:pPr>
      <w:bookmarkStart w:id="12" w:name="bm_h_0010"/>
      <w:r>
        <w:rPr>
          <w:rFonts w:ascii="Times New Roman" w:hAnsi="Times New Roman" w:eastAsia="黑体"/>
          <w:b w:val="0"/>
          <w:color w:val="000000"/>
          <w:sz w:val="28"/>
        </w:rPr>
        <w:t>2.5 智能分析技术</w:t>
      </w:r>
      <w:bookmarkEnd w:id="12"/>
    </w:p>
    <w:p>
      <w:pPr>
        <w:spacing w:lineRule="exact" w:line="440" w:before="0" w:after="0"/>
        <w:ind w:firstLine="560"/>
        <w:jc w:val="both"/>
      </w:pPr>
      <w:r>
        <w:rPr>
          <w:rFonts w:ascii="Times New Roman" w:hAnsi="Times New Roman" w:eastAsia="宋体"/>
          <w:b w:val="0"/>
          <w:color w:val="000000"/>
          <w:sz w:val="28"/>
        </w:rPr>
        <w:t>智能分析模块的目标是给用户一个有依据的方向判断，而不是只输出结论却说不出理由。 技术路线的选择主要受两个因素制约：可解释性和推理成本。纯深度学习方案，比如用Transformer做端到端预测，拟合能力强，但对训练数据量和GPU资源的要求都高，更关键的问题是可解释性差——模型给出一个"建议买入"，用户却看不到它依据了哪些指标。ARIMA等传统统计模型假设序列是线性的，金融数据中频繁出现的非线性波动它捕捉不到，对本系统的场景不够用。最终选定的方案是梯度提升树。它的训练过程是多棵决策树依次构建，后一棵树专门修正前一棵树判错的样本，在中等规模的结构化特征上训练速度快、预测精度也不低。对本系统来说还有一个很实际的优点：XGBoost可以直接输出特征重要性排名，用户能看到模型主要参考了均线偏离度、成交量变化率还是波动率指标，分析结论就不再是黑箱。XGBoost通过正则化目标函数和列采样在稀疏特征场景下实现了高效梯度提升</w:t>
      </w:r>
      <w:hyperlink w:anchor="bm_ref_5" w:history="1">
        <w:r>
          <w:rPr>
            <w:rFonts w:eastAsia="宋体" w:ascii="Times New Roman" w:hAnsi="Times New Roman"/>
            <w:sz w:val="15"/>
            <w:szCs w:val="15"/>
            <w:vertAlign w:val="superscript"/>
            <w:position w:val="6"/>
          </w:rPr>
          <w:t xml:space="preserve">[5]</w:t>
        </w:r>
      </w:hyperlink>
      <w:r>
        <w:rPr>
          <w:rFonts w:ascii="Times New Roman" w:hAnsi="Times New Roman" w:eastAsia="宋体"/>
          <w:b w:val="0"/>
          <w:color w:val="000000"/>
          <w:sz w:val="28"/>
        </w:rPr>
        <w:t>。基于这一判断，我把结构化的方向预测交给本地树模型，把需要语义理解的开放式分析（如新闻情绪解读、综合建议生成）交给在线大模型，如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bm_tbl_6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表6</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48" w:name="bm_tbl_6"/>
      <w:r>
        <w:rPr>
          <w:rFonts w:ascii="Times New Roman" w:hAnsi="Times New Roman" w:eastAsia="宋体"/>
          <w:b w:val="0"/>
          <w:color w:val="000000"/>
          <w:sz w:val="24"/>
        </w:rPr>
        <w:t>表6</w:t>
      </w:r>
      <w:bookmarkEnd w:id="48"/>
      <w:r>
        <w:rPr>
          <w:rFonts w:ascii="Times New Roman" w:hAnsi="Times New Roman" w:eastAsia="宋体"/>
          <w:b w:val="0"/>
          <w:color w:val="000000"/>
          <w:sz w:val="24"/>
        </w:rPr>
        <w:t xml:space="preserve"> 智能分析技术路线对比</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对比项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梯度提升树（XGBoost/LightGBM）</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深度学习（Transformer）</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传统统计（ARIMA）</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训练数据需求</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小</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推理速度</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快（毫秒级）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慢（需GPU加速）</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快</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可解释性</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强（特征重要性可输出）</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弱</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非线性拟合</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强</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最强</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弱</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本系统角色</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本地六角色推理主力</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在线大模型回退通道</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未采用</w:t>
            </w:r>
          </w:p>
        </w:tc>
      </w:tr>
    </w:tbl>
    <w:p>
      <w:pPr>
        <w:spacing w:lineRule="exact" w:line="440" w:before="0" w:after="0"/>
        <w:ind w:firstLine="560"/>
        <w:jc w:val="both"/>
      </w:pPr>
      <w:r>
        <w:rPr>
          <w:rFonts w:ascii="Times New Roman" w:hAnsi="Times New Roman" w:eastAsia="宋体"/>
          <w:b w:val="0"/>
          <w:color w:val="000000"/>
          <w:sz w:val="28"/>
        </w:rPr>
        <w:t>多智能体协同的核心思路可以抽象为"按相关性分配信息权重再做加权汇总"。在线大模型所用的注意力机制就是这个思路的一种数学表达：</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473684"/>
            <wp:docPr id="4" name="Picture 4"/>
            <wp:cNvGraphicFramePr>
              <a:graphicFrameLocks noChangeAspect="1"/>
            </wp:cNvGraphicFramePr>
            <a:graphic>
              <a:graphicData uri="http://schemas.openxmlformats.org/drawingml/2006/picture">
                <pic:pic>
                  <pic:nvPicPr>
                    <pic:cNvPr id="0" name="formula_2.png"/>
                    <pic:cNvPicPr/>
                  </pic:nvPicPr>
                  <pic:blipFill>
                    <a:blip r:embed="rId12"/>
                    <a:stretch>
                      <a:fillRect/>
                    </a:stretch>
                  </pic:blipFill>
                  <pic:spPr>
                    <a:xfrm>
                      <a:off x="0" y="0"/>
                      <a:ext cx="3600000" cy="473684"/>
                    </a:xfrm>
                    <a:prstGeom prst="rect"/>
                  </pic:spPr>
                </pic:pic>
              </a:graphicData>
            </a:graphic>
          </wp:inline>
        </w:drawing>
      </w:r>
      <w:r>
        <w:tab/>
      </w:r>
      <w:bookmarkStart w:id="49" w:name="bm_eq_2"/>
      <w:r>
        <w:rPr>
          <w:rFonts w:ascii="Times New Roman" w:hAnsi="Times New Roman" w:eastAsia="宋体"/>
          <w:b w:val="0"/>
          <w:color w:val="000000"/>
          <w:sz w:val="24"/>
        </w:rPr>
        <w:t>（公式2）</w:t>
      </w:r>
      <w:bookmarkEnd w:id="49"/>
    </w:p>
    <w:p>
      <w:pPr>
        <w:spacing w:lineRule="exact" w:line="440" w:before="0" w:after="40"/>
        <w:jc w:val="center"/>
      </w:pPr>
      <w:r>
        <w:rPr>
          <w:rFonts w:ascii="Times New Roman" w:hAnsi="Times New Roman" w:eastAsia="宋体"/>
          <w:b w:val="0"/>
          <w:color w:val="000000"/>
          <w:sz w:val="24"/>
        </w:rPr>
        <w:t>公式2中：</w:t>
      </w:r>
      <w:r>
        <w:rPr>
          <w:rFonts w:ascii="Times New Roman" w:hAnsi="Times New Roman" w:eastAsia="宋体"/>
          <w:b w:val="0"/>
          <w:color w:val="000000"/>
          <w:sz w:val="24"/>
        </w:rPr>
        <w:t>Q 为查询向量；K 为键向量；V 为值向量；d_k 为键向量维度。这个公式做的事情是：算出查询和每个键之间的相关程度，拿相关程度当权重去加总值向量，输出一个融合结果。系统中六个角色智能体的加权融合在思路上与此相通——每个角色的历史准确率相当于"相关性权重"，最终建议就是各角色判断的加权汇总。</w:t>
      </w:r>
    </w:p>
    <w:p>
      <w:pPr>
        <w:spacing w:lineRule="exact" w:line="440" w:before="0" w:after="0"/>
        <w:ind w:firstLine="560"/>
        <w:jc w:val="both"/>
      </w:pPr>
      <w:r>
        <w:rPr>
          <w:rFonts w:ascii="Times New Roman" w:hAnsi="Times New Roman" w:eastAsia="宋体"/>
          <w:b w:val="0"/>
          <w:color w:val="000000"/>
          <w:sz w:val="28"/>
        </w:rPr>
        <w:t>分析模块在运行时优先走本地路径。具体做法是Node.js后端通过child_process模块启动Python子进程，加载训练好的XGBoost模型完成六个角色的推理任务。本地路径的响应通常在毫秒到秒级之间，取决于特征计算的复杂度。当Python进程超时或异常退出时，系统自动切换到在线大模型接口做协同分析；如果在线接口也不可达，则返回一份结构完整、标注了兜底来源的分析结论。设计这套回退链的出发点是保证分析流程不中断，而不是让每次调用都拿到最优结果。</w:t>
      </w:r>
    </w:p>
    <w:p>
      <w:pPr>
        <w:spacing w:lineRule="exact" w:line="440" w:before="120" w:after="120"/>
        <w:jc w:val="left"/>
        <w:outlineLvl w:val="1"/>
      </w:pPr>
      <w:bookmarkStart w:id="13" w:name="bm_h_0011"/>
      <w:r>
        <w:rPr>
          <w:rFonts w:ascii="Times New Roman" w:hAnsi="Times New Roman" w:eastAsia="黑体"/>
          <w:b w:val="0"/>
          <w:color w:val="000000"/>
          <w:sz w:val="28"/>
        </w:rPr>
        <w:t>2.6 容器化部署</w:t>
      </w:r>
      <w:bookmarkEnd w:id="13"/>
    </w:p>
    <w:p>
      <w:pPr>
        <w:spacing w:lineRule="exact" w:line="440" w:before="0" w:after="0"/>
        <w:ind w:firstLine="560"/>
        <w:jc w:val="both"/>
      </w:pPr>
      <w:r>
        <w:rPr>
          <w:rFonts w:ascii="Times New Roman" w:hAnsi="Times New Roman" w:eastAsia="宋体"/>
          <w:b w:val="0"/>
          <w:color w:val="000000"/>
          <w:sz w:val="28"/>
        </w:rPr>
        <w:t>系统最终要部署到服务器上跑起来，部署过程本身也需要可复现——同样的配置文件在不同机器上启动，得到的结果应该一样。 Kubernetes是另一种选择，它提供自动扩缩容、服务发现、滚动更新这些企业级能力，但控制平面本身就需要多节点集群支撑，运维复杂度远超本系统的需求。本系统一共就四个服务（前端、后端、数据库、缓存），Docker Compose用一个YAML文件就能把依赖关系、启动顺序和健康检查全声明清楚，对单机部署场景完全够用。容器技术通过操作系统级虚拟化实现轻量环境隔离，镜像分层机制和写时复制策略是其资源效率的核心来源</w:t>
      </w:r>
      <w:hyperlink w:anchor="bm_ref_6" w:history="1">
        <w:r>
          <w:rPr>
            <w:rFonts w:eastAsia="宋体" w:ascii="Times New Roman" w:hAnsi="Times New Roman"/>
            <w:sz w:val="15"/>
            <w:szCs w:val="15"/>
            <w:vertAlign w:val="superscript"/>
            <w:position w:val="6"/>
          </w:rPr>
          <w:t xml:space="preserve">[6]</w:t>
        </w:r>
      </w:hyperlink>
      <w:r>
        <w:rPr>
          <w:rFonts w:ascii="Times New Roman" w:hAnsi="Times New Roman" w:eastAsia="宋体"/>
          <w:b w:val="0"/>
          <w:color w:val="000000"/>
          <w:sz w:val="28"/>
        </w:rPr>
        <w:t>，系统据此把前后端和依赖服务分别容器化，再由Compose统一编排。 技术选型到这里全部交代完了。为了避免六个方向各说各的造成理解碎片化，我把它们和系统主线目标做了一次统一映射，见</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bm_tbl_7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表7</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spacing w:lineRule="exact" w:line="360" w:before="120" w:after="40"/>
        <w:jc w:val="center"/>
        <w:keepNext/>
      </w:pPr>
      <w:bookmarkStart w:id="50" w:name="bm_tbl_7"/>
      <w:r>
        <w:rPr>
          <w:rFonts w:ascii="Times New Roman" w:hAnsi="Times New Roman" w:eastAsia="宋体"/>
          <w:b w:val="0"/>
          <w:color w:val="000000"/>
          <w:sz w:val="24"/>
        </w:rPr>
        <w:t>表7</w:t>
      </w:r>
      <w:bookmarkEnd w:id="50"/>
      <w:r>
        <w:rPr>
          <w:rFonts w:ascii="Times New Roman" w:hAnsi="Times New Roman" w:eastAsia="宋体"/>
          <w:b w:val="0"/>
          <w:color w:val="000000"/>
          <w:sz w:val="24"/>
        </w:rPr>
        <w:t xml:space="preserve"> 关键技术与系统作用映射</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技术方向</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具体技术</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在系统中的作用</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对主线目标的支撑</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前端交互</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Vue3 + Pinia + Element Plus + Vite + lightweight-charts</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承载策略、回测、分析与图表界面</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统一操作环境与实时展示</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后端服务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Node.js + Express + 中间件链</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组织路由分层与鉴权、限流、审计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请求可追踪、流程可定位</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数据存储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PostgreSQL + SQLite + Redis</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持久化核心数据，缓存行情与会话</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数据可查、快速访问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实时通信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WebSocket（ws库）</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推送行情变化与分析状态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界面实时联动</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智能分析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Python + XGBoost/LightGBM + 在线大模型</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本地ML推理与在线语义分析协同</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多智能体协同分析</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容器部署</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Docker + Docker Compose</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统一依赖、启动顺序与环境变量</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可复现部署</w:t>
            </w:r>
          </w:p>
        </w:tc>
      </w:tr>
    </w:tbl>
    <w:p>
      <w:pPr>
        <w:spacing w:lineRule="exact" w:line="440" w:before="0" w:after="0"/>
        <w:ind w:firstLine="560"/>
        <w:jc w:val="both"/>
      </w:pPr>
      <w:r>
        <w:rPr>
          <w:rFonts w:ascii="Times New Roman" w:hAnsi="Times New Roman" w:eastAsia="宋体"/>
          <w:b w:val="0"/>
          <w:color w:val="000000"/>
          <w:sz w:val="28"/>
        </w:rPr>
        <w:t>技术选型和系统目标对齐之后，下一步是把上述能力进一步约束为功能需求、非功能需求与数据接口三类可验收的指标。</w:t>
      </w:r>
    </w:p>
    <w:p>
      <w:pPr>
        <w:spacing w:lineRule="exact" w:line="440" w:before="0" w:after="0"/>
        <w:jc w:val="left"/>
      </w:pPr>
    </w:p>
    <w:p>
      <w:pPr>
        <w:spacing w:lineRule="exact" w:line="440" w:before="0" w:after="0"/>
        <w:jc w:val="left"/>
        <w:outlineLvl w:val="0"/>
      </w:pPr>
      <w:bookmarkStart w:id="14" w:name="bm_h_0012"/>
      <w:r>
        <w:rPr>
          <w:rFonts w:ascii="Times New Roman" w:hAnsi="Times New Roman" w:eastAsia="黑体"/>
          <w:b w:val="0"/>
          <w:color w:val="000000"/>
          <w:sz w:val="30"/>
        </w:rPr>
        <w:t>3 系统需求分析</w:t>
      </w:r>
      <w:bookmarkEnd w:id="14"/>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上一章回答了"用什么技术来建"，本章要回答的问题换了一个方向："建成什么样才算合格"。做需求分析的目的不是罗列功能清单——那只是表象——而是把系统需要交付的能力拆解为三类可以逐项验收的约束条件。功能需求划定系统"做什么"，非功能需求划定"做到什么程度"，数据与接口约束则划定模块之间的协作规则。数据库表结构的详细字段定义放到下一章系统设计中展开，本章只用E-R概念图把实体关系勾勒清楚。</w:t>
      </w:r>
    </w:p>
    <w:p>
      <w:pPr>
        <w:spacing w:lineRule="exact" w:line="440" w:before="120" w:after="120"/>
        <w:jc w:val="left"/>
        <w:outlineLvl w:val="1"/>
      </w:pPr>
      <w:bookmarkStart w:id="15" w:name="bm_h_0013"/>
      <w:r>
        <w:rPr>
          <w:rFonts w:ascii="Times New Roman" w:hAnsi="Times New Roman" w:eastAsia="黑体"/>
          <w:b w:val="0"/>
          <w:color w:val="000000"/>
          <w:sz w:val="28"/>
        </w:rPr>
        <w:t>3.1 功能需求</w:t>
      </w:r>
      <w:bookmarkEnd w:id="15"/>
    </w:p>
    <w:p>
      <w:pPr>
        <w:spacing w:lineRule="exact" w:line="440" w:before="0" w:after="0"/>
        <w:ind w:firstLine="560"/>
        <w:jc w:val="both"/>
      </w:pPr>
      <w:r>
        <w:rPr>
          <w:rFonts w:ascii="Times New Roman" w:hAnsi="Times New Roman" w:eastAsia="宋体"/>
          <w:b w:val="0"/>
          <w:color w:val="000000"/>
          <w:sz w:val="28"/>
        </w:rPr>
        <w:t>功能需求的组织方式不是按界面菜单逐页列举的。菜单是给用户看的，而需求梳理的逻辑应当沿着系统内部的处理链路走。具体来说，本系统的核心链路是：用户提交策略代码→系统识别语言并生成执行配置→回测引擎在历史行情上撮合计算→AI智能体对回测结果做协同分析→结果呈现在工作台上。之所以按这个顺序串联而非按菜单分列，原因在上一章技术选型时已经提过：回测引擎读取的行情数据和分析模块引用的行情数据必须是同一份，否则分析结论就没有依据可言。把功能需求沿链路组织，正是为了在需求层面就把这条"数据同源"的约束锁死。 系统面向两类用户角色。普通用户的核心操作链路是"写策略→跑回测→看分析"，管理员在此基础上还能管理用户账户、查看系统运行状态和调整配置参数。两类角色与系统功能的交互关系如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图3</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2831707"/>
            <wp:docPr id="5" name="Picture 5"/>
            <wp:cNvGraphicFramePr>
              <a:graphicFrameLocks noChangeAspect="1"/>
            </wp:cNvGraphicFramePr>
            <a:graphic>
              <a:graphicData uri="http://schemas.openxmlformats.org/drawingml/2006/picture">
                <pic:pic>
                  <pic:nvPicPr>
                    <pic:cNvPr id="0" name="fig3_5_functional_flow.png"/>
                    <pic:cNvPicPr/>
                  </pic:nvPicPr>
                  <pic:blipFill>
                    <a:blip r:embed="rId13"/>
                    <a:stretch>
                      <a:fillRect/>
                    </a:stretch>
                  </pic:blipFill>
                  <pic:spPr>
                    <a:xfrm>
                      <a:off x="0" y="0"/>
                      <a:ext cx="5400000" cy="2831707"/>
                    </a:xfrm>
                    <a:prstGeom prst="rect"/>
                  </pic:spPr>
                </pic:pic>
              </a:graphicData>
            </a:graphic>
          </wp:inline>
        </w:drawing>
      </w:r>
    </w:p>
    <w:p>
      <w:pPr>
        <w:spacing w:lineRule="exact" w:line="320" w:before="40" w:after="120"/>
        <w:jc w:val="center"/>
      </w:pPr>
      <w:bookmarkStart w:id="51" w:name="bm_fig_3"/>
      <w:r>
        <w:rPr>
          <w:rFonts w:ascii="Times New Roman" w:hAnsi="Times New Roman" w:eastAsia="黑体"/>
          <w:b w:val="0"/>
          <w:color w:val="000000"/>
          <w:sz w:val="24"/>
        </w:rPr>
        <w:t>图3</w:t>
      </w:r>
      <w:bookmarkEnd w:id="51"/>
      <w:r>
        <w:rPr>
          <w:rFonts w:ascii="Times New Roman" w:hAnsi="Times New Roman" w:eastAsia="黑体"/>
          <w:b w:val="0"/>
          <w:color w:val="000000"/>
          <w:sz w:val="24"/>
        </w:rPr>
        <w:t xml:space="preserve"> 系统用例图</w:t>
      </w:r>
    </w:p>
    <w:p>
      <w:pPr>
        <w:spacing w:lineRule="exact" w:line="440" w:before="0" w:after="0"/>
        <w:ind w:firstLine="560"/>
        <w:jc w:val="both"/>
      </w:pP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图3</w:t>
      </w:r>
      <w:r>
        <w:rPr>
          <w:rFonts w:ascii="Times New Roman" w:hAnsi="Times New Roman" w:eastAsia="宋体"/>
          <w:b w:val="0"/>
          <w:color w:val="000000"/>
          <w:sz w:val="28"/>
        </w:rPr>
        <w:fldChar w:fldCharType="end"/>
      </w:r>
      <w:r>
        <w:rPr>
          <w:rFonts w:ascii="Times New Roman" w:hAnsi="Times New Roman" w:eastAsia="宋体"/>
          <w:b w:val="0"/>
          <w:color w:val="000000"/>
          <w:sz w:val="28"/>
        </w:rPr>
        <w:t>中左侧是普通用户，可以执行登录注册、策略编写管理、回测验证、AI协同分析、行情查看和数据回放六项操作；右侧是管理员，拥有用户管理、系统监控和参数配置三项专属操作，同时继承普通用户的全部能力。 功能边界的划定标准是：能在现有部署条件下跑通请求受理、状态迁移和结果返回三个环节的能力，判定为"已实现"；仍依赖外部组件或额外部署前置条件才能运转的能力，判定为"待配置"。参照微服务架构按业务领域拆分独立服务单元的思路</w:t>
      </w:r>
      <w:hyperlink w:anchor="bm_ref_7" w:history="1">
        <w:r>
          <w:rPr>
            <w:rFonts w:eastAsia="宋体" w:ascii="Times New Roman" w:hAnsi="Times New Roman"/>
            <w:sz w:val="15"/>
            <w:szCs w:val="15"/>
            <w:vertAlign w:val="superscript"/>
            <w:position w:val="6"/>
          </w:rPr>
          <w:t xml:space="preserve">[7]</w:t>
        </w:r>
      </w:hyperlink>
      <w:r>
        <w:rPr>
          <w:rFonts w:ascii="Times New Roman" w:hAnsi="Times New Roman" w:eastAsia="宋体"/>
          <w:b w:val="0"/>
          <w:color w:val="000000"/>
          <w:sz w:val="28"/>
        </w:rPr>
        <w:t>，系统把认证管理、策略管理、回测管理、智能分析、综合数据、实时推送划分为六个独立模块，各模块通过统一路由入口组织协同。验收时按</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bm_tbl_8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表8</w:t>
      </w:r>
      <w:r>
        <w:rPr>
          <w:rFonts w:ascii="Times New Roman" w:hAnsi="Times New Roman" w:eastAsia="宋体"/>
          <w:b w:val="0"/>
          <w:color w:val="000000"/>
          <w:sz w:val="28"/>
        </w:rPr>
        <w:fldChar w:fldCharType="end"/>
      </w:r>
      <w:r>
        <w:rPr>
          <w:rFonts w:ascii="Times New Roman" w:hAnsi="Times New Roman" w:eastAsia="宋体"/>
          <w:b w:val="0"/>
          <w:color w:val="000000"/>
          <w:sz w:val="28"/>
        </w:rPr>
        <w:t>逐项核对触发条件、状态迁移和返回字段——任何一项缺失即判定未达标，如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bm_tbl_8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表8</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52" w:name="bm_tbl_8"/>
      <w:r>
        <w:rPr>
          <w:rFonts w:ascii="Times New Roman" w:hAnsi="Times New Roman" w:eastAsia="宋体"/>
          <w:b w:val="0"/>
          <w:color w:val="000000"/>
          <w:sz w:val="24"/>
        </w:rPr>
        <w:t>表8</w:t>
      </w:r>
      <w:bookmarkEnd w:id="52"/>
      <w:r>
        <w:rPr>
          <w:rFonts w:ascii="Times New Roman" w:hAnsi="Times New Roman" w:eastAsia="宋体"/>
          <w:b w:val="0"/>
          <w:color w:val="000000"/>
          <w:sz w:val="24"/>
        </w:rPr>
        <w:t xml:space="preserve"> 核心功能需求映射</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功能域</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目标</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关键能力</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预期输出</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认证与访问控制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保证请求主体可信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登录鉴权、权限校验、限流审计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可控访问链</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策略适配</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降低异构策略接入成本</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语言识别、类型判定、参数生成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结构化策略配置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回测评估</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统一策略验证口径</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历史撮合、收益风险指标计算</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可比对的评估结果</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协同分析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输出有依据的决策建议</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多角色分析、结果融合、失败回退</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建议与证据并存</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数据治理</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保障数据连续供给</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缓存、多源拉取、失败回退</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连续数据流</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实时联动</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保证交互连续反馈</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认证后订阅、消息推送、界面同步</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实时状态可见</w:t>
            </w:r>
          </w:p>
        </w:tc>
      </w:tr>
    </w:tbl>
    <w:p>
      <w:pPr>
        <w:spacing w:lineRule="exact" w:line="440" w:before="120" w:after="120"/>
        <w:jc w:val="left"/>
        <w:outlineLvl w:val="1"/>
      </w:pPr>
      <w:bookmarkStart w:id="16" w:name="bm_h_0014"/>
      <w:r>
        <w:rPr>
          <w:rFonts w:ascii="Times New Roman" w:hAnsi="Times New Roman" w:eastAsia="黑体"/>
          <w:b w:val="0"/>
          <w:color w:val="000000"/>
          <w:sz w:val="28"/>
        </w:rPr>
        <w:t>3.2 非功能需求</w:t>
      </w:r>
      <w:bookmarkEnd w:id="16"/>
    </w:p>
    <w:p>
      <w:pPr>
        <w:spacing w:lineRule="exact" w:line="440" w:before="0" w:after="0"/>
        <w:ind w:firstLine="560"/>
        <w:jc w:val="both"/>
      </w:pPr>
      <w:r>
        <w:rPr>
          <w:rFonts w:ascii="Times New Roman" w:hAnsi="Times New Roman" w:eastAsia="宋体"/>
          <w:b w:val="0"/>
          <w:color w:val="000000"/>
          <w:sz w:val="28"/>
        </w:rPr>
        <w:t>非功能需求决定的是系统在真实使用场景下能不能"用得住"。一个功能"存在"和"好用"之间的差距，往往就体现在响应速度、安全边界和异常恢复这三件事上。 性能方面，笼统说"响应要快"没有操作意义，得有一个可拆解的度量模型。（</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bm_eq_1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公式1</w:t>
      </w:r>
      <w:r>
        <w:rPr>
          <w:rFonts w:ascii="Times New Roman" w:hAnsi="Times New Roman" w:eastAsia="宋体"/>
          <w:b w:val="0"/>
          <w:color w:val="000000"/>
          <w:sz w:val="28"/>
        </w:rPr>
        <w:fldChar w:fldCharType="end"/>
      </w:r>
      <w:r>
        <w:rPr>
          <w:rFonts w:ascii="Times New Roman" w:hAnsi="Times New Roman" w:eastAsia="宋体"/>
          <w:b w:val="0"/>
          <w:color w:val="000000"/>
          <w:sz w:val="28"/>
        </w:rPr>
        <w:t>）已从全局角度把总时延拆成了五段，这里换一个更贴近请求处理视角的分解方式：</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473684"/>
            <wp:docPr id="6" name="Picture 6"/>
            <wp:cNvGraphicFramePr>
              <a:graphicFrameLocks noChangeAspect="1"/>
            </wp:cNvGraphicFramePr>
            <a:graphic>
              <a:graphicData uri="http://schemas.openxmlformats.org/drawingml/2006/picture">
                <pic:pic>
                  <pic:nvPicPr>
                    <pic:cNvPr id="0" name="formula_3.png"/>
                    <pic:cNvPicPr/>
                  </pic:nvPicPr>
                  <pic:blipFill>
                    <a:blip r:embed="rId14"/>
                    <a:stretch>
                      <a:fillRect/>
                    </a:stretch>
                  </pic:blipFill>
                  <pic:spPr>
                    <a:xfrm>
                      <a:off x="0" y="0"/>
                      <a:ext cx="3600000" cy="473684"/>
                    </a:xfrm>
                    <a:prstGeom prst="rect"/>
                  </pic:spPr>
                </pic:pic>
              </a:graphicData>
            </a:graphic>
          </wp:inline>
        </w:drawing>
      </w:r>
      <w:r>
        <w:tab/>
      </w:r>
      <w:bookmarkStart w:id="53" w:name="bm_eq_3"/>
      <w:r>
        <w:rPr>
          <w:rFonts w:ascii="Times New Roman" w:hAnsi="Times New Roman" w:eastAsia="宋体"/>
          <w:b w:val="0"/>
          <w:color w:val="000000"/>
          <w:sz w:val="24"/>
        </w:rPr>
        <w:t>（公式3）</w:t>
      </w:r>
      <w:bookmarkEnd w:id="53"/>
    </w:p>
    <w:p>
      <w:pPr>
        <w:spacing w:lineRule="exact" w:line="440" w:before="0" w:after="40"/>
        <w:jc w:val="center"/>
      </w:pPr>
      <w:r>
        <w:rPr>
          <w:rFonts w:ascii="Times New Roman" w:hAnsi="Times New Roman" w:eastAsia="宋体"/>
          <w:b w:val="0"/>
          <w:color w:val="000000"/>
          <w:sz w:val="24"/>
        </w:rPr>
        <w:t>公式3中：</w:t>
      </w:r>
      <w:r>
        <w:rPr>
          <w:rFonts w:ascii="Times New Roman" w:hAnsi="Times New Roman" w:eastAsia="宋体"/>
          <w:b w:val="0"/>
          <w:color w:val="000000"/>
          <w:sz w:val="24"/>
        </w:rPr>
        <w:t>T_e2e 为一次完整请求的端到端耗时；T_api 为路由匹配与鉴权耗时；T_service 为策略处理或分析计算耗时；T_db 为数据库与缓存访问耗时；T_ws 为实时消息通道耗时。这样拆的好处很直接——排查性能瓶颈时不用漫无目的地翻日志，而是先看哪个分段超标，再针对性地往下挖。</w:t>
      </w:r>
    </w:p>
    <w:p>
      <w:pPr>
        <w:spacing w:lineRule="exact" w:line="440" w:before="0" w:after="0"/>
        <w:ind w:firstLine="560"/>
        <w:jc w:val="both"/>
      </w:pPr>
      <w:r>
        <w:rPr>
          <w:rFonts w:ascii="Times New Roman" w:hAnsi="Times New Roman" w:eastAsia="宋体"/>
          <w:b w:val="0"/>
          <w:color w:val="000000"/>
          <w:sz w:val="28"/>
        </w:rPr>
        <w:t>安全设计只围绕一条原则展开：任何业务操作执行之前，先完成身份验证。所有REST API请求在进入业务逻辑前必须经过JWT鉴权中间件；WebSocket通道在连接建立后先做token校验，校验通过才让客户端订阅消息推送；删除策略、修改系统配置等敏感操作写入审计日志，记录操作人、时间戳和变更内容。三条规则在系统中没有例外——笔者在开发阶段一度考虑给部分只读接口放行免鉴权，后来出于链路追溯一致性的考虑还是放弃了这个做法。 可用性方面，核心要求是外部依赖出问题时系统不能直接停摆。行情数据源超时或返回空结果，切换到备用来源或兜底数据；模型推理超时，进入回退路径并返回结构化建议；缓存服务不可达，降级到内存缓存继续响应。这三类降级逻辑的实现细节放到系统实现章展开，本章先把约束框定住，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bm_tbl_9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表9</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54" w:name="bm_tbl_9"/>
      <w:r>
        <w:rPr>
          <w:rFonts w:ascii="Times New Roman" w:hAnsi="Times New Roman" w:eastAsia="宋体"/>
          <w:b w:val="0"/>
          <w:color w:val="000000"/>
          <w:sz w:val="24"/>
        </w:rPr>
        <w:t>表9</w:t>
      </w:r>
      <w:bookmarkEnd w:id="54"/>
      <w:r>
        <w:rPr>
          <w:rFonts w:ascii="Times New Roman" w:hAnsi="Times New Roman" w:eastAsia="宋体"/>
          <w:b w:val="0"/>
          <w:color w:val="000000"/>
          <w:sz w:val="24"/>
        </w:rPr>
        <w:t xml:space="preserve"> 非功能需求指标</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3024"/>
        <w:gridCol w:w="3024"/>
        <w:gridCol w:w="3024"/>
      </w:tblGrid>
      <w:tr>
        <w:trPr>
          <w:cantSplit w:val="1"/>
        </w:trPr>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维度</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约束项</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判定标准</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性能</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智能分析端到端响应</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秒级内返回</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性能</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回测计算（单策略单标的）</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中等数据量下秒级完成</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安全</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请求鉴权</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所有业务接口先认证后处理</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安全</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敏感操作</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审计日志可追溯</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可用性</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数据源异常</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自动切换备用源或兜底数据</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可用性</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模型推理异常</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回退到在线协同或结构化兜底</w:t>
            </w:r>
          </w:p>
        </w:tc>
      </w:tr>
      <w:tr>
        <w:trPr>
          <w:cantSplit w:val="1"/>
        </w:trPr>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可用性</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缓存服务异常</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降级到内存缓存继续响应</w:t>
            </w:r>
          </w:p>
        </w:tc>
      </w:tr>
    </w:tbl>
    <w:p>
      <w:pPr>
        <w:spacing w:lineRule="exact" w:line="440" w:before="120" w:after="120"/>
        <w:jc w:val="left"/>
        <w:outlineLvl w:val="1"/>
      </w:pPr>
      <w:bookmarkStart w:id="17" w:name="bm_h_0015"/>
      <w:r>
        <w:rPr>
          <w:rFonts w:ascii="Times New Roman" w:hAnsi="Times New Roman" w:eastAsia="黑体"/>
          <w:b w:val="0"/>
          <w:color w:val="000000"/>
          <w:sz w:val="28"/>
        </w:rPr>
        <w:t>3.3 数据与接口约束</w:t>
      </w:r>
      <w:bookmarkEnd w:id="17"/>
    </w:p>
    <w:p>
      <w:pPr>
        <w:spacing w:lineRule="exact" w:line="440" w:before="0" w:after="0"/>
        <w:ind w:firstLine="560"/>
        <w:jc w:val="both"/>
      </w:pPr>
      <w:r>
        <w:rPr>
          <w:rFonts w:ascii="Times New Roman" w:hAnsi="Times New Roman" w:eastAsia="宋体"/>
          <w:b w:val="0"/>
          <w:color w:val="000000"/>
          <w:sz w:val="28"/>
        </w:rPr>
        <w:t>数据约束要解决的核心问题是可追溯性。系统中有六类核心实体：用户、策略、回测、交易、行情缓存和AI建议，它们之间必须保持清晰的关联关系，否则追溯链路就会断。 举一个具体场景：研究者拿到一条"建议做多"的分析结论，想回头确认它到底参考了什么。追溯路径应该是"建议→回测记录→策略代码→提交用户"，沿这条路径可以确认该建议对应哪个版本的策略、跑了哪段时间的历史行情、用了哪组执行参数。如果中间任何一环的关联关系断了，这条建议的可信度就无从验证。开发阶段笔者曾遇到过一次类似的情况——某次回测结果和分析建议对不上号，排查后发现是回测记录的策略外键丢了，用了两个小时才定位到问题。这件事之后笔者把所有实体之间的外键约束做了一遍梳理，确保链路不断。 六类实体的关联关系如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图4</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3177474"/>
            <wp:docPr id="7" name="Picture 7"/>
            <wp:cNvGraphicFramePr>
              <a:graphicFrameLocks noChangeAspect="1"/>
            </wp:cNvGraphicFramePr>
            <a:graphic>
              <a:graphicData uri="http://schemas.openxmlformats.org/drawingml/2006/picture">
                <pic:pic>
                  <pic:nvPicPr>
                    <pic:cNvPr id="0" name="fig3_4_er_diagram.png"/>
                    <pic:cNvPicPr/>
                  </pic:nvPicPr>
                  <pic:blipFill>
                    <a:blip r:embed="rId15"/>
                    <a:stretch>
                      <a:fillRect/>
                    </a:stretch>
                  </pic:blipFill>
                  <pic:spPr>
                    <a:xfrm>
                      <a:off x="0" y="0"/>
                      <a:ext cx="5400000" cy="3177474"/>
                    </a:xfrm>
                    <a:prstGeom prst="rect"/>
                  </pic:spPr>
                </pic:pic>
              </a:graphicData>
            </a:graphic>
          </wp:inline>
        </w:drawing>
      </w:r>
    </w:p>
    <w:p>
      <w:pPr>
        <w:spacing w:lineRule="exact" w:line="320" w:before="40" w:after="120"/>
        <w:jc w:val="center"/>
      </w:pPr>
      <w:bookmarkStart w:id="55" w:name="bm_fig_4"/>
      <w:r>
        <w:rPr>
          <w:rFonts w:ascii="Times New Roman" w:hAnsi="Times New Roman" w:eastAsia="黑体"/>
          <w:b w:val="0"/>
          <w:color w:val="000000"/>
          <w:sz w:val="24"/>
        </w:rPr>
        <w:t>图4</w:t>
      </w:r>
      <w:bookmarkEnd w:id="55"/>
      <w:r>
        <w:rPr>
          <w:rFonts w:ascii="Times New Roman" w:hAnsi="Times New Roman" w:eastAsia="黑体"/>
          <w:b w:val="0"/>
          <w:color w:val="000000"/>
          <w:sz w:val="24"/>
        </w:rPr>
        <w:t xml:space="preserve"> 系统核心实体E-R概念图</w:t>
      </w:r>
    </w:p>
    <w:p>
      <w:pPr>
        <w:spacing w:lineRule="exact" w:line="440" w:before="0" w:after="0"/>
        <w:ind w:firstLine="560"/>
        <w:jc w:val="both"/>
      </w:pP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图4</w:t>
      </w:r>
      <w:r>
        <w:rPr>
          <w:rFonts w:ascii="Times New Roman" w:hAnsi="Times New Roman" w:eastAsia="宋体"/>
          <w:b w:val="0"/>
          <w:color w:val="000000"/>
          <w:sz w:val="28"/>
        </w:rPr>
        <w:fldChar w:fldCharType="end"/>
      </w:r>
      <w:r>
        <w:rPr>
          <w:rFonts w:ascii="Times New Roman" w:hAnsi="Times New Roman" w:eastAsia="宋体"/>
          <w:b w:val="0"/>
          <w:color w:val="000000"/>
          <w:sz w:val="28"/>
        </w:rPr>
        <w:t>中，用户（User）与策略（Strategy）是一对多关系——一个用户可以创建多条策略；策略与回测（Backtest）同样是一对多——同一条策略可以在不同时间段、不同参数下跑多次回测；交易（Trade）同时关联用户和策略；AI建议（AISuggestion）关联用户并记录智能体类型标识；行情缓存（KlineCache）独立于业务主链，按标的代码和时间周期建联合索引，为回测和分析提供数据支撑。各实体的字段定义留到系统设计章逐表展开。 接口约束的核心是前后端的通信契约不能乱。系统对所有API接口采用统一的响应结构：成功时返回 { success: true, data: ... }，失败时返回 { success: false, error: { code, message } }，分页时在data中嵌套 { items, total, page, pageSize }。后端各类异常经过错误归一化中间件统一格式后再返回，不让原始异常对象泄露给前端——这既是安全考虑，也是为了让前端只需处理一种错误格式。实时订阅同样遵循"先认证后推送"的约定：WebSocket连接建立后必须先完成身份校验，未认证的连接不会收到任何业务消息。</w:t>
      </w:r>
    </w:p>
    <w:p>
      <w:pPr>
        <w:spacing w:lineRule="exact" w:line="360" w:before="120" w:after="40"/>
        <w:jc w:val="center"/>
        <w:keepNext/>
      </w:pPr>
      <w:bookmarkStart w:id="56" w:name="bm_tbl_10"/>
      <w:r>
        <w:rPr>
          <w:rFonts w:ascii="Times New Roman" w:hAnsi="Times New Roman" w:eastAsia="宋体"/>
          <w:b w:val="0"/>
          <w:color w:val="000000"/>
          <w:sz w:val="24"/>
        </w:rPr>
        <w:t>表10</w:t>
      </w:r>
      <w:bookmarkEnd w:id="56"/>
      <w:r>
        <w:rPr>
          <w:rFonts w:ascii="Times New Roman" w:hAnsi="Times New Roman" w:eastAsia="宋体"/>
          <w:b w:val="0"/>
          <w:color w:val="000000"/>
          <w:sz w:val="24"/>
        </w:rPr>
        <w:t xml:space="preserve"> 接口约束规范</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3024"/>
        <w:gridCol w:w="3024"/>
        <w:gridCol w:w="3024"/>
      </w:tblGrid>
      <w:tr>
        <w:trPr>
          <w:cantSplit w:val="1"/>
        </w:trPr>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约束项</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适用范围</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规则</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统一响应结构</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全部REST API</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成功态、失败态、分页态字段固定</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错误归一化</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全部REST API</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异常在服务侧统一处理后返回</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认证前置</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WebSocket通道</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连接后先认证，未认证不推送</w:t>
            </w:r>
          </w:p>
        </w:tc>
      </w:tr>
      <w:tr>
        <w:trPr>
          <w:cantSplit w:val="1"/>
        </w:trPr>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版本兼容</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路由前缀</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/api/ 统一前缀，模块按名称区分</w:t>
            </w:r>
          </w:p>
        </w:tc>
      </w:tr>
    </w:tbl>
    <w:p>
      <w:pPr>
        <w:spacing w:lineRule="exact" w:line="440" w:before="0" w:after="0"/>
        <w:ind w:firstLine="560"/>
        <w:jc w:val="both"/>
      </w:pPr>
      <w:r>
        <w:rPr>
          <w:rFonts w:ascii="Times New Roman" w:hAnsi="Times New Roman" w:eastAsia="宋体"/>
          <w:b w:val="0"/>
          <w:color w:val="000000"/>
          <w:sz w:val="28"/>
        </w:rPr>
        <w:t>三类需求约束——做什么、做到什么程度、模块之间怎么协作——到这里全部交代完了。下一章进入系统设计，在这些约束框架内把架构分层、模块拆分、数据库表结构和路由设计逐一落地。</w:t>
      </w:r>
    </w:p>
    <w:p>
      <w:pPr>
        <w:spacing w:lineRule="exact" w:line="440" w:before="0" w:after="0"/>
        <w:jc w:val="left"/>
      </w:pPr>
    </w:p>
    <w:p>
      <w:pPr>
        <w:spacing w:lineRule="exact" w:line="440" w:before="0" w:after="0"/>
        <w:jc w:val="left"/>
        <w:outlineLvl w:val="0"/>
      </w:pPr>
      <w:bookmarkStart w:id="18" w:name="bm_h_0016"/>
      <w:r>
        <w:rPr>
          <w:rFonts w:ascii="Times New Roman" w:hAnsi="Times New Roman" w:eastAsia="黑体"/>
          <w:b w:val="0"/>
          <w:color w:val="000000"/>
          <w:sz w:val="30"/>
        </w:rPr>
        <w:t>4 系统设计</w:t>
      </w:r>
      <w:bookmarkEnd w:id="18"/>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第3章划定了功能边界和非功能性约束，本章在此基础上给出具体设计方案。笔者把系统拆成五个层次——前端交互、接入路由、策略适配、多智能体协同、数据治理——之所以这样分，是因为</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w:t>
      </w:r>
      <w:r>
        <w:rPr>
          <w:rFonts w:ascii="Times New Roman" w:hAnsi="Times New Roman" w:eastAsia="宋体"/>
          <w:b w:val="0"/>
          <w:color w:val="000000"/>
          <w:sz w:val="28"/>
        </w:rPr>
        <w:fldChar w:fldCharType="end"/>
      </w:r>
      <w:r>
        <w:rPr>
          <w:rFonts w:ascii="Times New Roman" w:hAnsi="Times New Roman" w:eastAsia="宋体"/>
          <w:b w:val="0"/>
          <w:color w:val="000000"/>
          <w:sz w:val="28"/>
        </w:rPr>
        <w:t>列出的六类任务，每一类所需的能力恰好对应一个独立的技术层。下面逐层展开，数据库设计另起一节放在末尾。</w:t>
      </w:r>
    </w:p>
    <w:p>
      <w:pPr>
        <w:spacing w:lineRule="exact" w:line="440" w:before="120" w:after="120"/>
        <w:jc w:val="left"/>
        <w:outlineLvl w:val="1"/>
      </w:pPr>
      <w:bookmarkStart w:id="19" w:name="bm_h_0017"/>
      <w:r>
        <w:rPr>
          <w:rFonts w:ascii="Times New Roman" w:hAnsi="Times New Roman" w:eastAsia="黑体"/>
          <w:b w:val="0"/>
          <w:color w:val="000000"/>
          <w:sz w:val="28"/>
        </w:rPr>
        <w:t>4.1 五层架构与路由设计</w:t>
      </w:r>
      <w:bookmarkEnd w:id="19"/>
    </w:p>
    <w:p>
      <w:pPr>
        <w:spacing w:lineRule="exact" w:line="440" w:before="0" w:after="0"/>
        <w:ind w:firstLine="560"/>
        <w:jc w:val="both"/>
      </w:pPr>
      <w:r>
        <w:rPr>
          <w:rFonts w:ascii="Times New Roman" w:hAnsi="Times New Roman" w:eastAsia="宋体"/>
          <w:b w:val="0"/>
          <w:color w:val="000000"/>
          <w:sz w:val="28"/>
        </w:rPr>
        <w:t>五层并非凭空画出来的。回头看</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w:t>
      </w:r>
      <w:r>
        <w:rPr>
          <w:rFonts w:ascii="Times New Roman" w:hAnsi="Times New Roman" w:eastAsia="宋体"/>
          <w:b w:val="0"/>
          <w:color w:val="000000"/>
          <w:sz w:val="28"/>
        </w:rPr>
        <w:fldChar w:fldCharType="end"/>
      </w:r>
      <w:r>
        <w:rPr>
          <w:rFonts w:ascii="Times New Roman" w:hAnsi="Times New Roman" w:eastAsia="宋体"/>
          <w:b w:val="0"/>
          <w:color w:val="000000"/>
          <w:sz w:val="28"/>
        </w:rPr>
        <w:t>中的六类任务——统一入口需要鉴权限流，策略适配需要语言识别和自动配置，回测需要历史撮合能力，协同分析需要多模型并行加融合，数据治理需要多源拉取和缓存——这些能力彼此之间几乎没有重叠，各自归入一个层次就成了自然而然的选择。</w:t>
      </w:r>
    </w:p>
    <w:p>
      <w:pPr>
        <w:spacing w:lineRule="exact" w:line="360" w:before="120" w:after="40"/>
        <w:jc w:val="center"/>
        <w:keepNext/>
      </w:pPr>
      <w:bookmarkStart w:id="57" w:name="bm_tbl_11"/>
      <w:r>
        <w:rPr>
          <w:rFonts w:ascii="Times New Roman" w:hAnsi="Times New Roman" w:eastAsia="宋体"/>
          <w:b w:val="0"/>
          <w:color w:val="000000"/>
          <w:sz w:val="24"/>
        </w:rPr>
        <w:t>表11</w:t>
      </w:r>
      <w:bookmarkEnd w:id="57"/>
      <w:r>
        <w:rPr>
          <w:rFonts w:ascii="Times New Roman" w:hAnsi="Times New Roman" w:eastAsia="宋体"/>
          <w:b w:val="0"/>
          <w:color w:val="000000"/>
          <w:sz w:val="24"/>
        </w:rPr>
        <w:t xml:space="preserve"> 五层架构与职责划分</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层次</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核心职责</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包含模块</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涉及设计模式</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前端交互层</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承载操作界面与实时展示</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Vue3组件、Pinia状态、lightweight-charts</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接入与路由层</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统一入口、鉴权、限流、审计</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Express中间件链、路由分发</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行为型：责任链模式</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策略适配层</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异构代码识别与统一配置</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语言识别、类型判定、自动配置、执行引擎</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结构型：适配器模式；行为型：策略模式</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多智能体协同层</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多角色分析与加权融合</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六角色智能体、融合引擎、在线回退</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行为型：观察者模式；行为型：模板方法模式</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数据治理层</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数据连续供给与缓存管理</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多源拉取、四级回退、双库切换</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行为型：责任链模式；创建型：工厂模式</w:t>
            </w:r>
          </w:p>
        </w:tc>
      </w:tr>
    </w:tbl>
    <w:p>
      <w:pPr>
        <w:spacing w:lineRule="exact" w:line="440" w:before="0" w:after="0"/>
        <w:ind w:firstLine="560"/>
        <w:jc w:val="both"/>
      </w:pPr>
      <w:r>
        <w:rPr>
          <w:rFonts w:ascii="Times New Roman" w:hAnsi="Times New Roman" w:eastAsia="宋体"/>
          <w:b w:val="0"/>
          <w:color w:val="000000"/>
          <w:sz w:val="28"/>
        </w:rPr>
        <w:t>五层之间的通信全部走统一路由入口。后端API按业务域分成六组前缀，各组对应一个功能模块。如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bm_fig_5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图5</w:t>
      </w:r>
      <w:r>
        <w:rPr>
          <w:rFonts w:ascii="Times New Roman" w:hAnsi="Times New Roman" w:eastAsia="宋体"/>
          <w:b w:val="0"/>
          <w:color w:val="000000"/>
          <w:sz w:val="28"/>
        </w:rPr>
        <w:fldChar w:fldCharType="end"/>
      </w:r>
      <w:r>
        <w:rPr>
          <w:rFonts w:ascii="Times New Roman" w:hAnsi="Times New Roman" w:eastAsia="宋体"/>
          <w:b w:val="0"/>
          <w:color w:val="000000"/>
          <w:sz w:val="28"/>
        </w:rPr>
        <w:t>展示了路由树的完整结构：</w:t>
      </w:r>
    </w:p>
    <w:p>
      <w:pPr>
        <w:pStyle w:val="BodyText"/>
        <w:spacing w:before="120" w:after="0"/>
        <w:ind w:firstLine="0" w:left="0" w:right="0"/>
        <w:jc w:val="center"/>
      </w:pPr>
      <w:r>
        <w:drawing>
          <wp:inline xmlns:a="http://schemas.openxmlformats.org/drawingml/2006/main" xmlns:pic="http://schemas.openxmlformats.org/drawingml/2006/picture">
            <wp:extent cx="5400000" cy="3550000"/>
            <wp:docPr id="8" name="Picture 8"/>
            <wp:cNvGraphicFramePr>
              <a:graphicFrameLocks noChangeAspect="1"/>
            </wp:cNvGraphicFramePr>
            <a:graphic>
              <a:graphicData uri="http://schemas.openxmlformats.org/drawingml/2006/picture">
                <pic:pic>
                  <pic:nvPicPr>
                    <pic:cNvPr id="0" name="fig4_2_urlroutes.png"/>
                    <pic:cNvPicPr/>
                  </pic:nvPicPr>
                  <pic:blipFill>
                    <a:blip r:embed="rId16"/>
                    <a:stretch>
                      <a:fillRect/>
                    </a:stretch>
                  </pic:blipFill>
                  <pic:spPr>
                    <a:xfrm>
                      <a:off x="0" y="0"/>
                      <a:ext cx="5400000" cy="3550000"/>
                    </a:xfrm>
                    <a:prstGeom prst="rect"/>
                  </pic:spPr>
                </pic:pic>
              </a:graphicData>
            </a:graphic>
          </wp:inline>
        </w:drawing>
      </w:r>
    </w:p>
    <w:p>
      <w:pPr>
        <w:spacing w:lineRule="exact" w:line="320" w:before="40" w:after="120"/>
        <w:jc w:val="center"/>
      </w:pPr>
      <w:bookmarkStart w:id="58" w:name="bm_fig_5"/>
      <w:r>
        <w:rPr>
          <w:rFonts w:ascii="Times New Roman" w:hAnsi="Times New Roman" w:eastAsia="黑体"/>
          <w:b w:val="0"/>
          <w:color w:val="000000"/>
          <w:sz w:val="24"/>
        </w:rPr>
        <w:t>图5</w:t>
      </w:r>
      <w:bookmarkEnd w:id="58"/>
      <w:r>
        <w:rPr>
          <w:rFonts w:ascii="Times New Roman" w:hAnsi="Times New Roman" w:eastAsia="黑体"/>
          <w:b w:val="0"/>
          <w:color w:val="000000"/>
          <w:sz w:val="24"/>
        </w:rPr>
        <w:t xml:space="preserve"> 后端API路由树形结构</w:t>
      </w:r>
    </w:p>
    <w:p>
      <w:pPr>
        <w:spacing w:lineRule="exact" w:line="440" w:before="0" w:after="0"/>
        <w:ind w:firstLine="560"/>
        <w:jc w:val="both"/>
      </w:pPr>
      <w:r>
        <w:rPr>
          <w:rFonts w:ascii="Times New Roman" w:hAnsi="Times New Roman" w:eastAsia="宋体"/>
          <w:b w:val="0"/>
          <w:color w:val="000000"/>
          <w:sz w:val="28"/>
        </w:rPr>
        <w:t>/api/auth 负责认证，/api/strategies 和 /api/backtests 分别承接策略适配与回测评估，/api/analysis 对应协同分析，/api/market 处理行情数据，/api/trades 管理交易记录。请求到达业务路由之前，需要先通过接入层的中间件链。</w:t>
      </w:r>
    </w:p>
    <w:p>
      <w:pPr>
        <w:spacing w:lineRule="exact" w:line="440" w:before="120" w:after="120"/>
        <w:jc w:val="left"/>
        <w:outlineLvl w:val="1"/>
      </w:pPr>
      <w:bookmarkStart w:id="20" w:name="bm_h_0018"/>
      <w:r>
        <w:rPr>
          <w:rFonts w:ascii="Times New Roman" w:hAnsi="Times New Roman" w:eastAsia="黑体"/>
          <w:b w:val="0"/>
          <w:color w:val="000000"/>
          <w:sz w:val="28"/>
        </w:rPr>
        <w:t>4.2 接入层与中间件设计</w:t>
      </w:r>
      <w:bookmarkEnd w:id="20"/>
    </w:p>
    <w:p>
      <w:pPr>
        <w:spacing w:lineRule="exact" w:line="440" w:before="0" w:after="0"/>
        <w:ind w:firstLine="560"/>
        <w:jc w:val="both"/>
      </w:pPr>
      <w:r>
        <w:rPr>
          <w:rFonts w:ascii="Times New Roman" w:hAnsi="Times New Roman" w:eastAsia="宋体"/>
          <w:b w:val="0"/>
          <w:color w:val="000000"/>
          <w:sz w:val="28"/>
        </w:rPr>
        <w:t>接入层按责任链模式组织：每个中间件只管自己那一件事，处理完把控制权交给下一个节点。日志中间件记请求轨迹，限流中间件统计单IP请求频次——笔者后来需要加一个请求耗时统计功能，只要在链上插入一个新节点就够了，原有的鉴权和限流逻辑根本不用动。这是责任链模式在可维护性方面给出的实际回报。 请求进入后端后，按"日志→审计→限流→错误归一化→业务路由"的顺序依次通过五道中间件，如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表12</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59" w:name="bm_tbl_12"/>
      <w:r>
        <w:rPr>
          <w:rFonts w:ascii="Times New Roman" w:hAnsi="Times New Roman" w:eastAsia="宋体"/>
          <w:b w:val="0"/>
          <w:color w:val="000000"/>
          <w:sz w:val="24"/>
        </w:rPr>
        <w:t>表12</w:t>
      </w:r>
      <w:bookmarkEnd w:id="59"/>
      <w:r>
        <w:rPr>
          <w:rFonts w:ascii="Times New Roman" w:hAnsi="Times New Roman" w:eastAsia="宋体"/>
          <w:b w:val="0"/>
          <w:color w:val="000000"/>
          <w:sz w:val="24"/>
        </w:rPr>
        <w:t xml:space="preserve"> 中间件链执行顺序</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顺序</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中间件</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职责</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处理规则</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1</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日志中间件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记录请求轨迹</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记录方法、路径、IP、时间戳</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2</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审计中间件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留存写操作记录</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POST/PUT/DELETE操作写审计日志</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3</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限流中间件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约束突发流量</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单IP单位时间请求数超限则拒绝</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4</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错误归一化</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统一异常输出格式</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捕获异常，转为统一错误响应结构</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5</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业务路由</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分发到具体模块</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按路由前缀匹配对应处理器</w:t>
            </w:r>
          </w:p>
        </w:tc>
      </w:tr>
    </w:tbl>
    <w:p>
      <w:pPr>
        <w:spacing w:lineRule="exact" w:line="440" w:before="0" w:after="0"/>
        <w:ind w:firstLine="560"/>
        <w:jc w:val="both"/>
      </w:pPr>
      <w:r>
        <w:rPr>
          <w:rFonts w:ascii="Times New Roman" w:hAnsi="Times New Roman" w:eastAsia="宋体"/>
          <w:b w:val="0"/>
          <w:color w:val="000000"/>
          <w:sz w:val="28"/>
        </w:rPr>
        <w:t>最后一道是错误归一化。不管业务路由里抛出什么异常，这个中间件都会兜住，转换成 { success: false, error: { code, message } } 结构返回给前端。前端因此只需写一套异常处理逻辑就够了——这一点在前后端联调阶段省去了不少麻烦。</w:t>
      </w:r>
    </w:p>
    <w:p>
      <w:pPr>
        <w:spacing w:lineRule="exact" w:line="440" w:before="120" w:after="120"/>
        <w:jc w:val="left"/>
        <w:outlineLvl w:val="1"/>
      </w:pPr>
      <w:bookmarkStart w:id="21" w:name="bm_h_0019"/>
      <w:r>
        <w:rPr>
          <w:rFonts w:ascii="Times New Roman" w:hAnsi="Times New Roman" w:eastAsia="黑体"/>
          <w:b w:val="0"/>
          <w:color w:val="000000"/>
          <w:sz w:val="28"/>
        </w:rPr>
        <w:t>4.3 策略适配层设计</w:t>
      </w:r>
      <w:bookmarkEnd w:id="21"/>
    </w:p>
    <w:p>
      <w:pPr>
        <w:spacing w:lineRule="exact" w:line="440" w:before="0" w:after="0"/>
        <w:ind w:firstLine="560"/>
        <w:jc w:val="both"/>
      </w:pPr>
      <w:r>
        <w:rPr>
          <w:rFonts w:ascii="Times New Roman" w:hAnsi="Times New Roman" w:eastAsia="宋体"/>
          <w:b w:val="0"/>
          <w:color w:val="000000"/>
          <w:sz w:val="28"/>
        </w:rPr>
        <w:t>用户提交的策略代码可能是Python脚本、JavaScript脚本或通达信公式，三者的语法和执行方式差异很大。而下游回测引擎只接受一种统一的配置格式。问题就变成了：怎么把三种不同来源的输入，收口成一个结构化对象？ IntelligentStrategyAdapter 做的事情就是这个——拿到不管什么语言的代码，输出一个固定格式的配置对象，下游模块直接拿去用，不需要关心原始代码是哪种语言。这其实就是适配器模式的应用场景。到了执行阶段，系统根据语言类型分流到不同的执行器（VM沙箱执行脚本、子进程桥接公式），但对外暴露的调用接口始终一样，执行器的切换对调用方透明——这一层用的是策略模式。两者在代码中的关系见</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bm_fig_6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图6</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pStyle w:val="BodyText"/>
        <w:spacing w:before="120" w:after="0"/>
        <w:ind w:firstLine="0" w:left="0" w:right="0"/>
        <w:jc w:val="center"/>
      </w:pPr>
      <w:r>
        <w:drawing>
          <wp:inline xmlns:a="http://schemas.openxmlformats.org/drawingml/2006/main" xmlns:pic="http://schemas.openxmlformats.org/drawingml/2006/picture">
            <wp:extent cx="5400000" cy="3177474"/>
            <wp:docPr id="9" name="Picture 9"/>
            <wp:cNvGraphicFramePr>
              <a:graphicFrameLocks noChangeAspect="1"/>
            </wp:cNvGraphicFramePr>
            <a:graphic>
              <a:graphicData uri="http://schemas.openxmlformats.org/drawingml/2006/picture">
                <pic:pic>
                  <pic:nvPicPr>
                    <pic:cNvPr id="0" name="fig4_1_strategy_adapter_architecture.png"/>
                    <pic:cNvPicPr/>
                  </pic:nvPicPr>
                  <pic:blipFill>
                    <a:blip r:embed="rId17"/>
                    <a:stretch>
                      <a:fillRect/>
                    </a:stretch>
                  </pic:blipFill>
                  <pic:spPr>
                    <a:xfrm>
                      <a:off x="0" y="0"/>
                      <a:ext cx="5400000" cy="3177474"/>
                    </a:xfrm>
                    <a:prstGeom prst="rect"/>
                  </pic:spPr>
                </pic:pic>
              </a:graphicData>
            </a:graphic>
          </wp:inline>
        </w:drawing>
      </w:r>
    </w:p>
    <w:p>
      <w:pPr>
        <w:spacing w:lineRule="exact" w:line="320" w:before="40" w:after="120"/>
        <w:jc w:val="center"/>
      </w:pPr>
      <w:bookmarkStart w:id="60" w:name="bm_fig_6"/>
      <w:r>
        <w:rPr>
          <w:rFonts w:ascii="Times New Roman" w:hAnsi="Times New Roman" w:eastAsia="黑体"/>
          <w:b w:val="0"/>
          <w:color w:val="000000"/>
          <w:sz w:val="24"/>
        </w:rPr>
        <w:t>图6</w:t>
      </w:r>
      <w:bookmarkEnd w:id="60"/>
      <w:r>
        <w:rPr>
          <w:rFonts w:ascii="Times New Roman" w:hAnsi="Times New Roman" w:eastAsia="黑体"/>
          <w:b w:val="0"/>
          <w:color w:val="000000"/>
          <w:sz w:val="24"/>
        </w:rPr>
        <w:t xml:space="preserve"> 策略适配与执行分流类图</w:t>
      </w:r>
    </w:p>
    <w:p>
      <w:pPr>
        <w:spacing w:lineRule="exact" w:line="440" w:before="0" w:after="0"/>
        <w:ind w:firstLine="560"/>
        <w:jc w:val="both"/>
      </w:pPr>
      <w:r>
        <w:rPr>
          <w:rFonts w:ascii="Times New Roman" w:hAnsi="Times New Roman" w:eastAsia="宋体"/>
          <w:b w:val="0"/>
          <w:color w:val="000000"/>
          <w:sz w:val="28"/>
        </w:rPr>
        <w:t>适配器内部分三步走完：识别→评估→配置。语言识别并行地跑关键词通道和语法模式通道——碰到 def、​import numpy 就给Python加分，碰到 function、​const 就给JavaScript加分——两条通道的得分按如下公式加权合并：</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473684"/>
            <wp:docPr id="10" name="Picture 10"/>
            <wp:cNvGraphicFramePr>
              <a:graphicFrameLocks noChangeAspect="1"/>
            </wp:cNvGraphicFramePr>
            <a:graphic>
              <a:graphicData uri="http://schemas.openxmlformats.org/drawingml/2006/picture">
                <pic:pic>
                  <pic:nvPicPr>
                    <pic:cNvPr id="0" name="formula_4.png"/>
                    <pic:cNvPicPr/>
                  </pic:nvPicPr>
                  <pic:blipFill>
                    <a:blip r:embed="rId18"/>
                    <a:stretch>
                      <a:fillRect/>
                    </a:stretch>
                  </pic:blipFill>
                  <pic:spPr>
                    <a:xfrm>
                      <a:off x="0" y="0"/>
                      <a:ext cx="3600000" cy="473684"/>
                    </a:xfrm>
                    <a:prstGeom prst="rect"/>
                  </pic:spPr>
                </pic:pic>
              </a:graphicData>
            </a:graphic>
          </wp:inline>
        </w:drawing>
      </w:r>
      <w:r>
        <w:tab/>
      </w:r>
      <w:bookmarkStart w:id="61" w:name="bm_eq_4"/>
      <w:r>
        <w:rPr>
          <w:rFonts w:ascii="Times New Roman" w:hAnsi="Times New Roman" w:eastAsia="宋体"/>
          <w:b w:val="0"/>
          <w:color w:val="000000"/>
          <w:sz w:val="24"/>
        </w:rPr>
        <w:t>（公式4）</w:t>
      </w:r>
      <w:bookmarkEnd w:id="61"/>
    </w:p>
    <w:p>
      <w:pPr>
        <w:spacing w:lineRule="exact" w:line="440" w:before="0" w:after="40"/>
        <w:jc w:val="center"/>
      </w:pPr>
      <w:r>
        <w:rPr>
          <w:rFonts w:ascii="Times New Roman" w:hAnsi="Times New Roman" w:eastAsia="宋体"/>
          <w:b w:val="0"/>
          <w:color w:val="000000"/>
          <w:sz w:val="24"/>
        </w:rPr>
        <w:t>公式4中：</w:t>
      </w:r>
      <w:r>
        <w:rPr>
          <w:rFonts w:ascii="Times New Roman" w:hAnsi="Times New Roman" w:eastAsia="宋体"/>
          <w:b w:val="0"/>
          <w:color w:val="000000"/>
          <w:sz w:val="24"/>
        </w:rPr>
        <w:t>F_l 表示语言 l 的特征集合；w_f 表示特征 f 的权重；1(f∈ code) 表示特征命中指示函数。得分最高的语言即为识别结果，同时输出置信度。</w:t>
      </w:r>
    </w:p>
    <w:p>
      <w:pPr>
        <w:spacing w:lineRule="exact" w:line="440" w:before="0" w:after="0"/>
        <w:ind w:firstLine="560"/>
        <w:jc w:val="both"/>
      </w:pPr>
      <w:r>
        <w:rPr>
          <w:rFonts w:ascii="Times New Roman" w:hAnsi="Times New Roman" w:eastAsia="宋体"/>
          <w:b w:val="0"/>
          <w:color w:val="000000"/>
          <w:sz w:val="28"/>
        </w:rPr>
        <w:t>语言定下来之后紧跟着做类型识别。系统为每种策略类别维护一套关键词集合：均线类匹配MA/SMA/EMA和交叉信号词，动量类匹配RSI/MACD和超买超卖阈值词。候选类别的得分累加后取最高者作为类型标签。这种"关键词加权打分"的做法，在因子选股领域也有类似思路——通过因子筛选与组合加权来区分不同特征</w:t>
      </w:r>
      <w:hyperlink w:anchor="bm_ref_8" w:history="1">
        <w:r>
          <w:rPr>
            <w:rFonts w:eastAsia="宋体" w:ascii="Times New Roman" w:hAnsi="Times New Roman"/>
            <w:sz w:val="15"/>
            <w:szCs w:val="15"/>
            <w:vertAlign w:val="superscript"/>
            <w:position w:val="6"/>
          </w:rPr>
          <w:t xml:space="preserve">[8]</w:t>
        </w:r>
      </w:hyperlink>
      <w:r>
        <w:rPr>
          <w:rFonts w:ascii="Times New Roman" w:hAnsi="Times New Roman" w:eastAsia="宋体"/>
          <w:b w:val="0"/>
          <w:color w:val="000000"/>
          <w:sz w:val="28"/>
        </w:rPr>
        <w:t>，本系统的类型识别算是借用了这个范式。 复杂度评估的做法比较直接：把指标命中数、代码行数和函数定义数折算成一个统一分值，分为低、中、高三级。等级越高，自动配置模块给出的默认参数越保守——这么做的考虑是，复杂策略本身出错概率更大，首轮回测时用保守参数可以缩小排障范围，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表13</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62" w:name="bm_tbl_13"/>
      <w:r>
        <w:rPr>
          <w:rFonts w:ascii="Times New Roman" w:hAnsi="Times New Roman" w:eastAsia="宋体"/>
          <w:b w:val="0"/>
          <w:color w:val="000000"/>
          <w:sz w:val="24"/>
        </w:rPr>
        <w:t>表13</w:t>
      </w:r>
      <w:bookmarkEnd w:id="62"/>
      <w:r>
        <w:rPr>
          <w:rFonts w:ascii="Times New Roman" w:hAnsi="Times New Roman" w:eastAsia="宋体"/>
          <w:b w:val="0"/>
          <w:color w:val="000000"/>
          <w:sz w:val="24"/>
        </w:rPr>
        <w:t xml:space="preserve"> 适配器三段处理能力映射</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阶段</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输入</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处理目标</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输出</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语言识别</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策略代码文本</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判断执行语义归属</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语言类别与置信度</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类型识别</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代码+名称+描述</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判断策略意图</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类型标签与权重</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复杂度评估</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代码结构特征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估计调参与排障成本</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复杂度等级</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自动配置</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识别结果+参数线索</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生成可执行初始参数</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参数配置与建议项</w:t>
            </w:r>
          </w:p>
        </w:tc>
      </w:tr>
    </w:tbl>
    <w:p>
      <w:pPr>
        <w:spacing w:lineRule="exact" w:line="440" w:before="0" w:after="0"/>
        <w:ind w:firstLine="560"/>
        <w:jc w:val="both"/>
      </w:pPr>
      <w:r>
        <w:rPr>
          <w:rFonts w:ascii="Times New Roman" w:hAnsi="Times New Roman" w:eastAsia="宋体"/>
          <w:b w:val="0"/>
          <w:color w:val="000000"/>
          <w:sz w:val="28"/>
        </w:rPr>
        <w:t>三步做完后，适配器输出一个统一结构对象——语言、类型、复杂度、置信度、参数配置和策略元数据全在里面。执行引擎和回测模块消费的就是这个对象，不再接触原始代码。换句话说，适配层跑通之后，后续模块的输入格式就锁定了。</w:t>
      </w:r>
    </w:p>
    <w:p>
      <w:pPr>
        <w:spacing w:lineRule="exact" w:line="440" w:before="120" w:after="120"/>
        <w:jc w:val="left"/>
        <w:outlineLvl w:val="1"/>
      </w:pPr>
      <w:bookmarkStart w:id="22" w:name="bm_h_0020"/>
      <w:r>
        <w:rPr>
          <w:rFonts w:ascii="Times New Roman" w:hAnsi="Times New Roman" w:eastAsia="黑体"/>
          <w:b w:val="0"/>
          <w:color w:val="000000"/>
          <w:sz w:val="28"/>
        </w:rPr>
        <w:t>4.4 多智能体协同层设计</w:t>
      </w:r>
      <w:bookmarkEnd w:id="22"/>
    </w:p>
    <w:p>
      <w:pPr>
        <w:spacing w:lineRule="exact" w:line="440" w:before="0" w:after="0"/>
        <w:ind w:firstLine="560"/>
        <w:jc w:val="both"/>
      </w:pPr>
      <w:r>
        <w:rPr>
          <w:rFonts w:ascii="Times New Roman" w:hAnsi="Times New Roman" w:eastAsia="宋体"/>
          <w:b w:val="0"/>
          <w:color w:val="000000"/>
          <w:sz w:val="28"/>
        </w:rPr>
        <w:t>策略适配层把"输入格式不统一"的问题收口了。协同层要解决的是另一个问题：六个分析角色各自给出判断之后，怎么合成一条有据可查的综合建议？ 协同层的模块间通信走的是事件驱动——策略提交触发一个事件，识别模块收到事件后启动，识别完成再发事件通知回测模块。整条链路里没有模块之间直接的函数调用，控制权通过事件的发布和订阅来传递，这是观察者模式的运用。六个智能体的内部执行逻辑则套了模板方法模式：AgentBase 基类定义好"加载数据→推理→格式化输出"三步的调用顺序，六个角色继承后各自重写 reason() 方法——骨架统一，推理细节各异。 TradingAgents框架把市场分析、技术研判、新闻解读、风险评估分配给不同LLM角色，用多轮辩论来收敛最终建议</w:t>
      </w:r>
      <w:hyperlink w:anchor="bm_ref_9" w:history="1">
        <w:r>
          <w:rPr>
            <w:rFonts w:eastAsia="宋体" w:ascii="Times New Roman" w:hAnsi="Times New Roman"/>
            <w:sz w:val="15"/>
            <w:szCs w:val="15"/>
            <w:vertAlign w:val="superscript"/>
            <w:position w:val="6"/>
          </w:rPr>
          <w:t xml:space="preserve">[9]</w:t>
        </w:r>
      </w:hyperlink>
      <w:r>
        <w:rPr>
          <w:rFonts w:ascii="Times New Roman" w:hAnsi="Times New Roman" w:eastAsia="宋体"/>
          <w:b w:val="0"/>
          <w:color w:val="000000"/>
          <w:sz w:val="28"/>
        </w:rPr>
        <w:t>。笔者参照了这个思路拆角色，但融合环节换成了加权投票而非辩论——原因是辩论依赖多轮在线推理，每轮都有网络延迟，端到端时间拉得太长；加权融合只在本地做矩阵运算，毫秒级就能完成。</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bm_fig_7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图7</w:t>
      </w:r>
      <w:r>
        <w:rPr>
          <w:rFonts w:ascii="Times New Roman" w:hAnsi="Times New Roman" w:eastAsia="宋体"/>
          <w:b w:val="0"/>
          <w:color w:val="000000"/>
          <w:sz w:val="28"/>
        </w:rPr>
        <w:fldChar w:fldCharType="end"/>
      </w:r>
      <w:r>
        <w:rPr>
          <w:rFonts w:ascii="Times New Roman" w:hAnsi="Times New Roman" w:eastAsia="宋体"/>
          <w:b w:val="0"/>
          <w:color w:val="000000"/>
          <w:sz w:val="28"/>
        </w:rPr>
        <w:t>展示了协同层的类图。</w:t>
      </w:r>
    </w:p>
    <w:p>
      <w:pPr>
        <w:pStyle w:val="BodyText"/>
        <w:spacing w:before="120" w:after="0"/>
        <w:ind w:firstLine="0" w:left="0" w:right="0"/>
        <w:jc w:val="center"/>
      </w:pPr>
      <w:r>
        <w:drawing>
          <wp:inline xmlns:a="http://schemas.openxmlformats.org/drawingml/2006/main" xmlns:pic="http://schemas.openxmlformats.org/drawingml/2006/picture">
            <wp:extent cx="5400000" cy="3715714"/>
            <wp:docPr id="11" name="Picture 11"/>
            <wp:cNvGraphicFramePr>
              <a:graphicFrameLocks noChangeAspect="1"/>
            </wp:cNvGraphicFramePr>
            <a:graphic>
              <a:graphicData uri="http://schemas.openxmlformats.org/drawingml/2006/picture">
                <pic:pic>
                  <pic:nvPicPr>
                    <pic:cNvPr id="0" name="fig4_3_classdiagram_agent.png"/>
                    <pic:cNvPicPr/>
                  </pic:nvPicPr>
                  <pic:blipFill>
                    <a:blip r:embed="rId19"/>
                    <a:stretch>
                      <a:fillRect/>
                    </a:stretch>
                  </pic:blipFill>
                  <pic:spPr>
                    <a:xfrm>
                      <a:off x="0" y="0"/>
                      <a:ext cx="5400000" cy="3715714"/>
                    </a:xfrm>
                    <a:prstGeom prst="rect"/>
                  </pic:spPr>
                </pic:pic>
              </a:graphicData>
            </a:graphic>
          </wp:inline>
        </w:drawing>
      </w:r>
    </w:p>
    <w:p>
      <w:pPr>
        <w:spacing w:lineRule="exact" w:line="320" w:before="40" w:after="120"/>
        <w:jc w:val="center"/>
      </w:pPr>
      <w:bookmarkStart w:id="63" w:name="bm_fig_7"/>
      <w:r>
        <w:rPr>
          <w:rFonts w:ascii="Times New Roman" w:hAnsi="Times New Roman" w:eastAsia="黑体"/>
          <w:b w:val="0"/>
          <w:color w:val="000000"/>
          <w:sz w:val="24"/>
        </w:rPr>
        <w:t>图7</w:t>
      </w:r>
      <w:bookmarkEnd w:id="63"/>
      <w:r>
        <w:rPr>
          <w:rFonts w:ascii="Times New Roman" w:hAnsi="Times New Roman" w:eastAsia="黑体"/>
          <w:b w:val="0"/>
          <w:color w:val="000000"/>
          <w:sz w:val="24"/>
        </w:rPr>
        <w:t xml:space="preserve"> 多智能体协同类图</w:t>
      </w:r>
    </w:p>
    <w:p>
      <w:pPr>
        <w:spacing w:lineRule="exact" w:line="440" w:before="0" w:after="0"/>
        <w:ind w:firstLine="560"/>
        <w:jc w:val="both"/>
      </w:pPr>
      <w:r>
        <w:rPr>
          <w:rFonts w:ascii="Times New Roman" w:hAnsi="Times New Roman" w:eastAsia="宋体"/>
          <w:b w:val="0"/>
          <w:color w:val="000000"/>
          <w:sz w:val="28"/>
        </w:rPr>
        <w:t>AgentBase 是抽象基类，analyze() 按固定顺序调 loadData() → reason() → formatOutput()。六个子类只重写 reason()，其余沿用基类逻辑。AgentFusionEngine 负责汇总投票并执行融合计算。 融合分两步。第一步按历史准确率归一化权重：</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545684"/>
            <wp:docPr id="12" name="Picture 12"/>
            <wp:cNvGraphicFramePr>
              <a:graphicFrameLocks noChangeAspect="1"/>
            </wp:cNvGraphicFramePr>
            <a:graphic>
              <a:graphicData uri="http://schemas.openxmlformats.org/drawingml/2006/picture">
                <pic:pic>
                  <pic:nvPicPr>
                    <pic:cNvPr id="0" name="formula_5.png"/>
                    <pic:cNvPicPr/>
                  </pic:nvPicPr>
                  <pic:blipFill>
                    <a:blip r:embed="rId20"/>
                    <a:stretch>
                      <a:fillRect/>
                    </a:stretch>
                  </pic:blipFill>
                  <pic:spPr>
                    <a:xfrm>
                      <a:off x="0" y="0"/>
                      <a:ext cx="3600000" cy="545684"/>
                    </a:xfrm>
                    <a:prstGeom prst="rect"/>
                  </pic:spPr>
                </pic:pic>
              </a:graphicData>
            </a:graphic>
          </wp:inline>
        </w:drawing>
      </w:r>
      <w:r>
        <w:tab/>
      </w:r>
      <w:bookmarkStart w:id="64" w:name="bm_eq_5"/>
      <w:r>
        <w:rPr>
          <w:rFonts w:ascii="Times New Roman" w:hAnsi="Times New Roman" w:eastAsia="宋体"/>
          <w:b w:val="0"/>
          <w:color w:val="000000"/>
          <w:sz w:val="24"/>
        </w:rPr>
        <w:t>（公式5）</w:t>
      </w:r>
      <w:bookmarkEnd w:id="64"/>
    </w:p>
    <w:p>
      <w:pPr>
        <w:spacing w:lineRule="exact" w:line="440" w:before="0" w:after="40"/>
        <w:jc w:val="center"/>
      </w:pPr>
      <w:r>
        <w:rPr>
          <w:rFonts w:ascii="Times New Roman" w:hAnsi="Times New Roman" w:eastAsia="宋体"/>
          <w:b w:val="0"/>
          <w:color w:val="000000"/>
          <w:sz w:val="24"/>
        </w:rPr>
        <w:t>公式5中：</w:t>
      </w:r>
      <w:r>
        <w:rPr>
          <w:rFonts w:ascii="Times New Roman" w:hAnsi="Times New Roman" w:eastAsia="宋体"/>
          <w:b w:val="0"/>
          <w:color w:val="000000"/>
          <w:sz w:val="24"/>
        </w:rPr>
        <w:t>a_i 为第 i 个角色的历史准确率；w_i 为归一化后的融合权重；n 为参与融合的角色数量。</w:t>
      </w:r>
    </w:p>
    <w:p>
      <w:pPr>
        <w:spacing w:lineRule="exact" w:line="440" w:before="0" w:after="0"/>
        <w:ind w:firstLine="560"/>
        <w:jc w:val="both"/>
      </w:pPr>
      <w:r>
        <w:rPr>
          <w:rFonts w:ascii="Times New Roman" w:hAnsi="Times New Roman" w:eastAsia="宋体"/>
          <w:b w:val="0"/>
          <w:color w:val="000000"/>
          <w:sz w:val="28"/>
        </w:rPr>
        <w:t>第二步把权重和单次置信度映射到方向得分上：</w:t>
      </w:r>
    </w:p>
    <w:p>
      <w:pPr>
        <w:spacing w:lineRule="atLeast" w:line="560" w:before="40" w:after="0"/>
        <w:jc w:val="center"/>
        <w:tabs>
          <w:tab w:val="right" w:leader="none" w:pos="8296"/>
        </w:tabs>
      </w:pPr>
      <w:r>
        <w:drawing>
          <wp:inline xmlns:a="http://schemas.openxmlformats.org/drawingml/2006/main" xmlns:pic="http://schemas.openxmlformats.org/drawingml/2006/picture">
            <wp:extent cx="3600000" cy="473684"/>
            <wp:docPr id="13" name="Picture 13"/>
            <wp:cNvGraphicFramePr>
              <a:graphicFrameLocks noChangeAspect="1"/>
            </wp:cNvGraphicFramePr>
            <a:graphic>
              <a:graphicData uri="http://schemas.openxmlformats.org/drawingml/2006/picture">
                <pic:pic>
                  <pic:nvPicPr>
                    <pic:cNvPr id="0" name="formula_6.png"/>
                    <pic:cNvPicPr/>
                  </pic:nvPicPr>
                  <pic:blipFill>
                    <a:blip r:embed="rId21"/>
                    <a:stretch>
                      <a:fillRect/>
                    </a:stretch>
                  </pic:blipFill>
                  <pic:spPr>
                    <a:xfrm>
                      <a:off x="0" y="0"/>
                      <a:ext cx="3600000" cy="473684"/>
                    </a:xfrm>
                    <a:prstGeom prst="rect"/>
                  </pic:spPr>
                </pic:pic>
              </a:graphicData>
            </a:graphic>
          </wp:inline>
        </w:drawing>
      </w:r>
      <w:r>
        <w:tab/>
      </w:r>
      <w:bookmarkStart w:id="65" w:name="bm_eq_6"/>
      <w:r>
        <w:rPr>
          <w:rFonts w:ascii="Times New Roman" w:hAnsi="Times New Roman" w:eastAsia="宋体"/>
          <w:b w:val="0"/>
          <w:color w:val="000000"/>
          <w:sz w:val="24"/>
        </w:rPr>
        <w:t>（公式6）</w:t>
      </w:r>
      <w:bookmarkEnd w:id="65"/>
    </w:p>
    <w:p>
      <w:pPr>
        <w:spacing w:lineRule="exact" w:line="440" w:before="0" w:after="40"/>
        <w:jc w:val="center"/>
      </w:pPr>
      <w:r>
        <w:rPr>
          <w:rFonts w:ascii="Times New Roman" w:hAnsi="Times New Roman" w:eastAsia="宋体"/>
          <w:b w:val="0"/>
          <w:color w:val="000000"/>
          <w:sz w:val="24"/>
        </w:rPr>
        <w:t>公式6中：</w:t>
      </w:r>
      <w:r>
        <w:rPr>
          <w:rFonts w:ascii="Times New Roman" w:hAnsi="Times New Roman" w:eastAsia="宋体"/>
          <w:b w:val="0"/>
          <w:color w:val="000000"/>
          <w:sz w:val="24"/>
        </w:rPr>
        <w:t>v_i 为第 i 个角色的投票方向；c_i 为该角色本次置信度；S_d 为方向 d 的综合支持度。最高得分方向即为最终建议。</w:t>
      </w:r>
    </w:p>
    <w:p>
      <w:pPr>
        <w:spacing w:lineRule="exact" w:line="440" w:before="0" w:after="0"/>
        <w:ind w:firstLine="560"/>
        <w:jc w:val="both"/>
      </w:pPr>
      <w:r>
        <w:rPr>
          <w:rFonts w:ascii="Times New Roman" w:hAnsi="Times New Roman" w:eastAsia="宋体"/>
          <w:b w:val="0"/>
          <w:color w:val="000000"/>
          <w:sz w:val="28"/>
        </w:rPr>
        <w:t>简单的等权多数投票在模型差异较大时反而会放大噪声</w:t>
      </w:r>
      <w:hyperlink w:anchor="bm_ref_10" w:history="1">
        <w:r>
          <w:rPr>
            <w:rFonts w:eastAsia="宋体" w:ascii="Times New Roman" w:hAnsi="Times New Roman"/>
            <w:sz w:val="15"/>
            <w:szCs w:val="15"/>
            <w:vertAlign w:val="superscript"/>
            <w:position w:val="6"/>
          </w:rPr>
          <w:t xml:space="preserve">[10]</w:t>
        </w:r>
      </w:hyperlink>
      <w:r>
        <w:rPr>
          <w:rFonts w:ascii="Times New Roman" w:hAnsi="Times New Roman" w:eastAsia="宋体"/>
          <w:b w:val="0"/>
          <w:color w:val="000000"/>
          <w:sz w:val="28"/>
        </w:rPr>
        <w:t>，所以系统选择按准确率加权：历史表现好的角色票数更重，表现差的影响力相应被压缩。遇到方向分歧过大或信号不足的情况，融合引擎回落到 hold，不把不稳定判断放大成强结论，如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表14</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66" w:name="bm_tbl_14"/>
      <w:r>
        <w:rPr>
          <w:rFonts w:ascii="Times New Roman" w:hAnsi="Times New Roman" w:eastAsia="宋体"/>
          <w:b w:val="0"/>
          <w:color w:val="000000"/>
          <w:sz w:val="24"/>
        </w:rPr>
        <w:t>表14</w:t>
      </w:r>
      <w:bookmarkEnd w:id="66"/>
      <w:r>
        <w:rPr>
          <w:rFonts w:ascii="Times New Roman" w:hAnsi="Times New Roman" w:eastAsia="宋体"/>
          <w:b w:val="0"/>
          <w:color w:val="000000"/>
          <w:sz w:val="24"/>
        </w:rPr>
        <w:t xml:space="preserve"> 角色分工与输出映射</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角色</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主要职责</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输入特征</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输出结果</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市场角色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识别趋势方向与结构信号</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价格序列与均线特征</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方向判断与趋势依据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技术角色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评估指标组合强弱</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动量与摆动指标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指标结论与信号强度</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基本面角色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评估估值与质量因子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估值与盈利指标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价值判断与配置建议</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新闻角色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识别舆情倾向</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资讯文本与事件标签</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情绪结论与事件影响</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风险角色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约束回撤暴露</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波动率与置信度</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风险等级与仓位建议</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策略角色</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汇总执行建议</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多角色中间结果</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综合动作与执行参数</w:t>
            </w:r>
          </w:p>
        </w:tc>
      </w:tr>
    </w:tbl>
    <w:p>
      <w:pPr>
        <w:spacing w:lineRule="exact" w:line="440" w:before="0" w:after="0"/>
        <w:ind w:firstLine="560"/>
        <w:jc w:val="both"/>
      </w:pPr>
      <w:r>
        <w:rPr>
          <w:rFonts w:ascii="Times New Roman" w:hAnsi="Times New Roman" w:eastAsia="宋体"/>
          <w:b w:val="0"/>
          <w:color w:val="000000"/>
          <w:sz w:val="28"/>
        </w:rPr>
        <w:t>在线协同是本地推理不可用时的回退通道，按四个阶段推进：基础分析角色并行生成各自结论→多空研究角色三轮辩论消除分歧→交易角色综合给出动作建议→风险角色做仓位调整。如果在线阶段也出了问题，系统返回结构完整的兜底结果——建议动作、置信度、分角色分析、关键发现这几个核心字段都在。</w:t>
      </w:r>
    </w:p>
    <w:p>
      <w:pPr>
        <w:spacing w:lineRule="exact" w:line="440" w:before="120" w:after="120"/>
        <w:jc w:val="left"/>
        <w:outlineLvl w:val="1"/>
      </w:pPr>
      <w:bookmarkStart w:id="23" w:name="bm_h_0021"/>
      <w:r>
        <w:rPr>
          <w:rFonts w:ascii="Times New Roman" w:hAnsi="Times New Roman" w:eastAsia="黑体"/>
          <w:b w:val="0"/>
          <w:color w:val="000000"/>
          <w:sz w:val="28"/>
        </w:rPr>
        <w:t>4.5 数据治理层设计</w:t>
      </w:r>
      <w:bookmarkEnd w:id="23"/>
    </w:p>
    <w:p>
      <w:pPr>
        <w:spacing w:lineRule="exact" w:line="440" w:before="0" w:after="0"/>
        <w:ind w:firstLine="560"/>
        <w:jc w:val="both"/>
      </w:pPr>
      <w:r>
        <w:rPr>
          <w:rFonts w:ascii="Times New Roman" w:hAnsi="Times New Roman" w:eastAsia="宋体"/>
          <w:b w:val="0"/>
          <w:color w:val="000000"/>
          <w:sz w:val="28"/>
        </w:rPr>
        <w:t>数据治理层要回答一个问题：分析链路在任何场景下都能拿到可用数据吗？数据可能在Redis缓存里，也可能需要回查PostgreSQL历史库，或者从外部行情接口现拉。最极端的情况是所有外部源都挂了——这时候系统用模拟数据兜底。四级数据源按责任链模式排列：前一级能满足就直接返回，不能就传给下一级。 工厂模式用在数据库选择上。系统启动时探测PostgreSQL是否连得上，连得上就用PostgreSQL，连不上就自动退回SQLite。Sequelize ORM把底层方言差异挡住了，上层代码写一遍就够，不需要为两种数据库分别维护查询逻辑。</w:t>
      </w:r>
    </w:p>
    <w:p>
      <w:pPr>
        <w:spacing w:lineRule="exact" w:line="360" w:before="120" w:after="40"/>
        <w:jc w:val="center"/>
        <w:keepNext/>
      </w:pPr>
      <w:bookmarkStart w:id="67" w:name="bm_tbl_15"/>
      <w:r>
        <w:rPr>
          <w:rFonts w:ascii="Times New Roman" w:hAnsi="Times New Roman" w:eastAsia="宋体"/>
          <w:b w:val="0"/>
          <w:color w:val="000000"/>
          <w:sz w:val="24"/>
        </w:rPr>
        <w:t>表15</w:t>
      </w:r>
      <w:bookmarkEnd w:id="67"/>
      <w:r>
        <w:rPr>
          <w:rFonts w:ascii="Times New Roman" w:hAnsi="Times New Roman" w:eastAsia="宋体"/>
          <w:b w:val="0"/>
          <w:color w:val="000000"/>
          <w:sz w:val="24"/>
        </w:rPr>
        <w:t xml:space="preserve"> 数据四级回退机制</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层级</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数据来源</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触发条件</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响应速度</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数据质量</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第一级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Redis内存缓存</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请求命中缓存键</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最快（毫秒级）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与源一致</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第二级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PostgreSQL历史库</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缓存未命中</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快（十毫秒级）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与源一致</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第三级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外部数据源（多源）</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历史库数据不足</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中等（百毫秒~秒级）</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实时</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第四级</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增强模拟数据</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外部源全部不可用</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快</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模拟生成</w:t>
            </w:r>
          </w:p>
        </w:tc>
      </w:tr>
    </w:tbl>
    <w:p>
      <w:pPr>
        <w:spacing w:lineRule="exact" w:line="440" w:before="0" w:after="0"/>
        <w:ind w:firstLine="560"/>
        <w:jc w:val="both"/>
      </w:pPr>
      <w:r>
        <w:rPr>
          <w:rFonts w:ascii="Times New Roman" w:hAnsi="Times New Roman" w:eastAsia="宋体"/>
          <w:b w:val="0"/>
          <w:color w:val="000000"/>
          <w:sz w:val="28"/>
        </w:rPr>
        <w:t>第四级的模拟数据每条都带 isSimulated: true 标记，回测引擎碰到这个标记会跳过，不纳入收益率和回撤统计。笔者之所以这样处理，是因为早期测试时出过一次问题——模拟数据的波动率偏低，混进正式计算后把夏普比率拉高了不少，结论完全失真。加上来源标记之后，模拟数据只负责"不让流程断掉"，不会污染分析结论。 数据源选择还加了一个短时锁定窗口。笔者在调试中发现，如果每次请求都重新选源，前后两次拿到的数据可能来自不同渠道，价格口径就对不上了。锁定窗口的意思是：选定一个源之后，在窗口期内所有请求都走同一个源，过期才重新评估。</w:t>
      </w:r>
    </w:p>
    <w:p>
      <w:pPr>
        <w:spacing w:lineRule="exact" w:line="440" w:before="120" w:after="120"/>
        <w:jc w:val="left"/>
        <w:outlineLvl w:val="1"/>
      </w:pPr>
      <w:bookmarkStart w:id="24" w:name="bm_h_0022"/>
      <w:r>
        <w:rPr>
          <w:rFonts w:ascii="Times New Roman" w:hAnsi="Times New Roman" w:eastAsia="黑体"/>
          <w:b w:val="0"/>
          <w:color w:val="000000"/>
          <w:sz w:val="28"/>
        </w:rPr>
        <w:t>4.6 数据库设计</w:t>
      </w:r>
      <w:bookmarkEnd w:id="24"/>
    </w:p>
    <w:p>
      <w:pPr>
        <w:spacing w:lineRule="exact" w:line="440" w:before="0" w:after="0"/>
        <w:ind w:firstLine="560"/>
        <w:jc w:val="both"/>
      </w:pPr>
      <w:r>
        <w:rPr>
          <w:rFonts w:ascii="Times New Roman" w:hAnsi="Times New Roman" w:eastAsia="宋体"/>
          <w:b w:val="0"/>
          <w:color w:val="000000"/>
          <w:sz w:val="28"/>
        </w:rPr>
        <w:t>系统运行会产生六类结构化数据：用户信息、策略代码、回测结果、交易记录、行情缓存、AI分析建议，分别对应六张核心表。先看关联关系，再逐表列字段，如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bm_fig_8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图8</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3385714"/>
            <wp:docPr id="14" name="Picture 14"/>
            <wp:cNvGraphicFramePr>
              <a:graphicFrameLocks noChangeAspect="1"/>
            </wp:cNvGraphicFramePr>
            <a:graphic>
              <a:graphicData uri="http://schemas.openxmlformats.org/drawingml/2006/picture">
                <pic:pic>
                  <pic:nvPicPr>
                    <pic:cNvPr id="0" name="fig4_4_classdiagram.png"/>
                    <pic:cNvPicPr/>
                  </pic:nvPicPr>
                  <pic:blipFill>
                    <a:blip r:embed="rId22"/>
                    <a:stretch>
                      <a:fillRect/>
                    </a:stretch>
                  </pic:blipFill>
                  <pic:spPr>
                    <a:xfrm>
                      <a:off x="0" y="0"/>
                      <a:ext cx="5400000" cy="3385714"/>
                    </a:xfrm>
                    <a:prstGeom prst="rect"/>
                  </pic:spPr>
                </pic:pic>
              </a:graphicData>
            </a:graphic>
          </wp:inline>
        </w:drawing>
      </w:r>
    </w:p>
    <w:p>
      <w:pPr>
        <w:spacing w:lineRule="exact" w:line="320" w:before="40" w:after="120"/>
        <w:jc w:val="center"/>
      </w:pPr>
      <w:bookmarkStart w:id="68" w:name="bm_fig_8"/>
      <w:r>
        <w:rPr>
          <w:rFonts w:ascii="Times New Roman" w:hAnsi="Times New Roman" w:eastAsia="黑体"/>
          <w:b w:val="0"/>
          <w:color w:val="000000"/>
          <w:sz w:val="24"/>
        </w:rPr>
        <w:t>图8</w:t>
      </w:r>
      <w:bookmarkEnd w:id="68"/>
      <w:r>
        <w:rPr>
          <w:rFonts w:ascii="Times New Roman" w:hAnsi="Times New Roman" w:eastAsia="黑体"/>
          <w:b w:val="0"/>
          <w:color w:val="000000"/>
          <w:sz w:val="24"/>
        </w:rPr>
        <w:t xml:space="preserve"> 核心数据模型类图</w:t>
      </w:r>
    </w:p>
    <w:p>
      <w:pPr>
        <w:spacing w:lineRule="exact" w:line="440" w:before="0" w:after="0"/>
        <w:ind w:firstLine="560"/>
        <w:jc w:val="both"/>
      </w:pPr>
      <w:r>
        <w:rPr>
          <w:rFonts w:ascii="Times New Roman" w:hAnsi="Times New Roman" w:eastAsia="宋体"/>
          <w:b w:val="0"/>
          <w:color w:val="000000"/>
          <w:sz w:val="28"/>
        </w:rPr>
        <w:t>User与Strategy是一对多，Strategy与Backtest也是一对多，Trade同时关联User和Strategy，AISuggestion关联User并记录智能体类型。KlineCache独立于业务主链，按symbol+period+trade\_date建立联合唯一索引，数据库表结构如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bm_tbl_16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表16</w:t>
      </w:r>
      <w:r>
        <w:rPr>
          <w:rFonts w:ascii="Times New Roman" w:hAnsi="Times New Roman" w:eastAsia="宋体"/>
          <w:b w:val="0"/>
          <w:color w:val="000000"/>
          <w:sz w:val="28"/>
        </w:rPr>
        <w:fldChar w:fldCharType="end"/>
      </w:r>
      <w:r>
        <w:rPr>
          <w:rFonts w:ascii="Times New Roman" w:hAnsi="Times New Roman" w:eastAsia="宋体"/>
          <w:b w:val="0"/>
          <w:color w:val="000000"/>
          <w:sz w:val="28"/>
        </w:rPr>
        <w:t>至</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表21</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69" w:name="bm_tbl_16"/>
      <w:r>
        <w:rPr>
          <w:rFonts w:ascii="Times New Roman" w:hAnsi="Times New Roman" w:eastAsia="宋体"/>
          <w:b w:val="0"/>
          <w:color w:val="000000"/>
          <w:sz w:val="24"/>
        </w:rPr>
        <w:t>表16</w:t>
      </w:r>
      <w:bookmarkEnd w:id="69"/>
      <w:r>
        <w:rPr>
          <w:rFonts w:ascii="Times New Roman" w:hAnsi="Times New Roman" w:eastAsia="宋体"/>
          <w:b w:val="0"/>
          <w:color w:val="000000"/>
          <w:sz w:val="24"/>
        </w:rPr>
        <w:t xml:space="preserve"> 用户表（users）</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username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VARCHAR(50)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用户名，唯一约束</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email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VARCHAR(100)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邮箱，唯一约束</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password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VARCHAR(255)</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密码（bcrypt加密存储）</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role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ENUM('admin','user')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角色，默认user</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status</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ENUM('active','inactive','banned')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状态，默认active</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lastLoginAt</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DATETIME</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是</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最后登录时间</w:t>
            </w:r>
          </w:p>
        </w:tc>
      </w:tr>
    </w:tbl>
    <w:p>
      <w:pPr>
        <w:spacing w:lineRule="exact" w:line="360" w:before="120" w:after="40"/>
        <w:jc w:val="center"/>
        <w:keepNext/>
      </w:pPr>
      <w:bookmarkStart w:id="70" w:name="bm_tbl_17"/>
      <w:r>
        <w:rPr>
          <w:rFonts w:ascii="Times New Roman" w:hAnsi="Times New Roman" w:eastAsia="宋体"/>
          <w:b w:val="0"/>
          <w:color w:val="000000"/>
          <w:sz w:val="24"/>
        </w:rPr>
        <w:t>表17</w:t>
      </w:r>
      <w:bookmarkEnd w:id="70"/>
      <w:r>
        <w:rPr>
          <w:rFonts w:ascii="Times New Roman" w:hAnsi="Times New Roman" w:eastAsia="宋体"/>
          <w:b w:val="0"/>
          <w:color w:val="000000"/>
          <w:sz w:val="24"/>
        </w:rPr>
        <w:t xml:space="preserve"> 策略表（strategies）</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user_id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外键，关联users.id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name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VARCHAR(100)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策略名称</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description</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TEXT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策略描述</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code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TEXT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策略代码</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language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ENUM('javascript','python')</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策略语言，默认javascript</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type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ENUM('trend','mean\_reversion','arbitrage','market\_making','other')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策略类型，默认trend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parameters</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JSONB</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策略参数（JSON格式）</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status</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ENUM('draft','active','paused','archived')</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状态，默认draft</w:t>
            </w:r>
          </w:p>
        </w:tc>
      </w:tr>
    </w:tbl>
    <w:p>
      <w:pPr>
        <w:spacing w:lineRule="exact" w:line="360" w:before="120" w:after="40"/>
        <w:jc w:val="center"/>
        <w:keepNext/>
      </w:pPr>
      <w:bookmarkStart w:id="71" w:name="bm_tbl_18"/>
      <w:r>
        <w:rPr>
          <w:rFonts w:ascii="Times New Roman" w:hAnsi="Times New Roman" w:eastAsia="宋体"/>
          <w:b w:val="0"/>
          <w:color w:val="000000"/>
          <w:sz w:val="24"/>
        </w:rPr>
        <w:t>表18</w:t>
      </w:r>
      <w:bookmarkEnd w:id="71"/>
      <w:r>
        <w:rPr>
          <w:rFonts w:ascii="Times New Roman" w:hAnsi="Times New Roman" w:eastAsia="宋体"/>
          <w:b w:val="0"/>
          <w:color w:val="000000"/>
          <w:sz w:val="24"/>
        </w:rPr>
        <w:t xml:space="preserve"> 回测表（backtests）</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strategy_id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外键，关联strategies.id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name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VARCHAR(100)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回测名称</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initialCapital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DECIMAL(15,2)</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初始资金，默认100000</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finalCapital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DECIMAL(15,2)</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期末资金</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totalReturn</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总收益率</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maxDrawdown</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最大回撤</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winRate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DECIMAL(5,2)</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胜率</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symbols</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ARRAY(VARCHAR)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交易标的数组</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status</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ENUM('pending','running','completed','failed')</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状态，默认pending</w:t>
            </w:r>
          </w:p>
        </w:tc>
      </w:tr>
    </w:tbl>
    <w:p>
      <w:pPr>
        <w:spacing w:lineRule="exact" w:line="360" w:before="120" w:after="40"/>
        <w:jc w:val="center"/>
        <w:keepNext/>
      </w:pPr>
      <w:bookmarkStart w:id="72" w:name="bm_tbl_19"/>
      <w:r>
        <w:rPr>
          <w:rFonts w:ascii="Times New Roman" w:hAnsi="Times New Roman" w:eastAsia="宋体"/>
          <w:b w:val="0"/>
          <w:color w:val="000000"/>
          <w:sz w:val="24"/>
        </w:rPr>
        <w:t>表19</w:t>
      </w:r>
      <w:bookmarkEnd w:id="72"/>
      <w:r>
        <w:rPr>
          <w:rFonts w:ascii="Times New Roman" w:hAnsi="Times New Roman" w:eastAsia="宋体"/>
          <w:b w:val="0"/>
          <w:color w:val="000000"/>
          <w:sz w:val="24"/>
        </w:rPr>
        <w:t xml:space="preserve"> 交易表（trades）</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user_id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外键，关联users.id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strategy_id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外键，关联strategies.id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symbol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VARCHAR(20)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交易标的代码</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side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ENUM('buy','sell')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交易方向</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quantity</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DECIMAL(15,4)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交易数量</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price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DECIMAL(15,4)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交易价格</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amount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DECIMAL(15,2)</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交易金额</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status</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ENUM('pending','filled','cancelled','rejected')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状态，默认pending</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type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ENUM('backtest','paper','live')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交易类型，默认paper</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profit</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DECIMAL(15,2)</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是</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实际盈亏</w:t>
            </w:r>
          </w:p>
        </w:tc>
      </w:tr>
    </w:tbl>
    <w:p>
      <w:pPr>
        <w:spacing w:lineRule="exact" w:line="360" w:before="120" w:after="40"/>
        <w:jc w:val="center"/>
        <w:keepNext/>
      </w:pPr>
      <w:bookmarkStart w:id="73" w:name="bm_tbl_20"/>
      <w:r>
        <w:rPr>
          <w:rFonts w:ascii="Times New Roman" w:hAnsi="Times New Roman" w:eastAsia="宋体"/>
          <w:b w:val="0"/>
          <w:color w:val="000000"/>
          <w:sz w:val="24"/>
        </w:rPr>
        <w:t>表20</w:t>
      </w:r>
      <w:bookmarkEnd w:id="73"/>
      <w:r>
        <w:rPr>
          <w:rFonts w:ascii="Times New Roman" w:hAnsi="Times New Roman" w:eastAsia="宋体"/>
          <w:b w:val="0"/>
          <w:color w:val="000000"/>
          <w:sz w:val="24"/>
        </w:rPr>
        <w:t xml:space="preserve"> 行情缓存表（kline\_cache）</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symbol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VARCHAR(20)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标的代码，如sh000300</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period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VARCHAR(10)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周期：daily/weekly/monthly</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trade_date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DATE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交易日期</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open</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DECIMAL(20,4)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开盘价</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high</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DECIMAL(20,4)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最高价</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low</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DECIMAL(20,4)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最低价</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close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DECIMAL(20,4)</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收盘价</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volume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BIGINT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成交量</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data_source</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VARCHAR(50)</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是</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数据来源标识</w:t>
            </w:r>
          </w:p>
        </w:tc>
      </w:tr>
    </w:tbl>
    <w:p>
      <w:pPr>
        <w:spacing w:lineRule="exact" w:line="360" w:before="120" w:after="40"/>
        <w:jc w:val="center"/>
        <w:keepNext/>
      </w:pPr>
      <w:bookmarkStart w:id="74" w:name="bm_tbl_21"/>
      <w:r>
        <w:rPr>
          <w:rFonts w:ascii="Times New Roman" w:hAnsi="Times New Roman" w:eastAsia="宋体"/>
          <w:b w:val="0"/>
          <w:color w:val="000000"/>
          <w:sz w:val="24"/>
        </w:rPr>
        <w:t>表21</w:t>
      </w:r>
      <w:bookmarkEnd w:id="74"/>
      <w:r>
        <w:rPr>
          <w:rFonts w:ascii="Times New Roman" w:hAnsi="Times New Roman" w:eastAsia="宋体"/>
          <w:b w:val="0"/>
          <w:color w:val="000000"/>
          <w:sz w:val="24"/>
        </w:rPr>
        <w:t xml:space="preserve"> AI建议表（ai\_suggestions）</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1814"/>
        <w:gridCol w:w="1814"/>
        <w:gridCol w:w="1814"/>
        <w:gridCol w:w="1814"/>
        <w:gridCol w:w="1814"/>
      </w:tblGrid>
      <w:tr>
        <w:trPr>
          <w:cantSplit w:val="1"/>
        </w:trPr>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字段名</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数据类型</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主键</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允许空</w:t>
            </w:r>
          </w:p>
        </w:tc>
        <w:tc>
          <w:tcPr>
            <w:tcW w:type="dxa" w:w="181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说明</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自增主键</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user_id</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INTEGER</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外键，关联users.id</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symbol</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VARCHAR(20)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相关标的代码</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type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ENUM('strategy','trade','news','analysis')</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建议类型</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title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VARCHAR(200)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建议标题</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content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TEXT</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建议内容</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confidence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DECIMAL(5,2)</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置信度（0-100），默认0</w:t>
            </w:r>
          </w:p>
        </w:tc>
      </w:tr>
      <w:tr>
        <w:trPr>
          <w:cantSplit w:val="1"/>
        </w:trPr>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agentType</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VARCHAR(50)</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否</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是</w:t>
            </w:r>
          </w:p>
        </w:tc>
        <w:tc>
          <w:tcPr>
            <w:tcW w:type="dxa" w:w="181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智能体类型标识</w:t>
            </w:r>
          </w:p>
        </w:tc>
      </w:tr>
      <w:tr>
        <w:trPr>
          <w:cantSplit w:val="1"/>
        </w:trPr>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metadata</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JSONB</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否</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是</w:t>
            </w:r>
          </w:p>
        </w:tc>
        <w:tc>
          <w:tcPr>
            <w:tcW w:type="dxa" w:w="181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元数据（JSON格式）</w:t>
            </w:r>
          </w:p>
        </w:tc>
      </w:tr>
    </w:tbl>
    <w:p>
      <w:pPr>
        <w:spacing w:lineRule="exact" w:line="440" w:before="0" w:after="0"/>
        <w:ind w:firstLine="560"/>
        <w:jc w:val="both"/>
      </w:pPr>
      <w:r>
        <w:rPr>
          <w:rFonts w:ascii="Times New Roman" w:hAnsi="Times New Roman" w:eastAsia="宋体"/>
          <w:b w:val="0"/>
          <w:color w:val="000000"/>
          <w:sz w:val="28"/>
        </w:rPr>
        <w:t>有几处表设计细节值得单独提一下：kline\_cache 的 symbol、​period、​trade\_date 三字段组成联合唯一索引，防止同标的同周期同日期的数据重复写入——这个约束是在上线初期一次"数据翻倍"事故之后才加上的。strategies 的 parameters 字段选用 JSONB，原因很实际：不同类型的策略参数结构差异很大，如果为每种类型单开一张表，后续每增加一种策略类型就要做一次DDL变更，运维成本不划算。ai\_suggestions 的 agentType 标记了建议来自哪个角色，配合 metadata 里的分析依据，研究者可以从一条建议追溯到具体的生成过程和输入数据。</w:t>
      </w:r>
    </w:p>
    <w:p>
      <w:pPr>
        <w:spacing w:lineRule="exact" w:line="440" w:before="60" w:after="60"/>
        <w:jc w:val="left"/>
        <w:outlineLvl w:val="2"/>
      </w:pPr>
      <w:bookmarkStart w:id="25" w:name="bm_h_0023"/>
      <w:r>
        <w:rPr>
          <w:rFonts w:ascii="Times New Roman" w:hAnsi="Times New Roman" w:eastAsia="宋体"/>
          <w:b w:val="0"/>
          <w:color w:val="000000"/>
          <w:sz w:val="28"/>
        </w:rPr>
        <w:t>4.6.1 双库架构</w:t>
      </w:r>
      <w:bookmarkEnd w:id="25"/>
    </w:p>
    <w:p>
      <w:pPr>
        <w:spacing w:lineRule="exact" w:line="440" w:before="0" w:after="0"/>
        <w:ind w:firstLine="560"/>
        <w:jc w:val="both"/>
      </w:pPr>
      <w:r>
        <w:rPr>
          <w:rFonts w:ascii="Times New Roman" w:hAnsi="Times New Roman" w:eastAsia="宋体"/>
          <w:b w:val="0"/>
          <w:color w:val="000000"/>
          <w:sz w:val="28"/>
        </w:rPr>
        <w:t>系统默认连PostgreSQL。但个人投资者的本地环境不一定装了PostgreSQL——在笔记本上跑一个快速验证，单独装数据库服务确实不方便。系统因此准备了SQLite作为降级方案：启动时检测PostgreSQL连通性，连不上就切到SQLite。Sequelize ORM屏蔽了SQL方言差异，上层代码只写一套，两种库之间切换时不需要改动任何查询语句。 DatabaseFactory 根据连通性检测结果返回数据库实例。PostgreSQL在事务隔离和并发写入方面更强，适合多用户同时操作的线上环境；SQLite胜在零依赖——不需要额外安装任何服务，单机本地验证时直接一个文件就跑起来了。</w:t>
      </w:r>
    </w:p>
    <w:p>
      <w:pPr>
        <w:spacing w:lineRule="exact" w:line="440" w:before="0" w:after="0"/>
        <w:jc w:val="left"/>
      </w:pPr>
    </w:p>
    <w:p>
      <w:pPr>
        <w:spacing w:lineRule="exact" w:line="440" w:before="0" w:after="0"/>
        <w:jc w:val="left"/>
        <w:outlineLvl w:val="0"/>
      </w:pPr>
      <w:bookmarkStart w:id="26" w:name="bm_h_0024"/>
      <w:r>
        <w:rPr>
          <w:rFonts w:ascii="Times New Roman" w:hAnsi="Times New Roman" w:eastAsia="黑体"/>
          <w:b w:val="0"/>
          <w:color w:val="000000"/>
          <w:sz w:val="30"/>
        </w:rPr>
        <w:t>5 系统实现</w:t>
      </w:r>
      <w:bookmarkEnd w:id="26"/>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上一章完成了架构与数据库的设计，本章从代码角度展开。各功能模块选取最具代表性的代码片段加以说明，并配合界面截图展示实际运行效果。</w:t>
      </w:r>
    </w:p>
    <w:p>
      <w:pPr>
        <w:spacing w:lineRule="exact" w:line="440" w:before="120" w:after="120"/>
        <w:jc w:val="left"/>
        <w:outlineLvl w:val="1"/>
      </w:pPr>
      <w:bookmarkStart w:id="27" w:name="bm_h_0025"/>
      <w:r>
        <w:rPr>
          <w:rFonts w:ascii="Times New Roman" w:hAnsi="Times New Roman" w:eastAsia="黑体"/>
          <w:b w:val="0"/>
          <w:color w:val="000000"/>
          <w:sz w:val="28"/>
        </w:rPr>
        <w:t>5.1 认证与中间件实现</w:t>
      </w:r>
      <w:bookmarkEnd w:id="27"/>
    </w:p>
    <w:p>
      <w:pPr>
        <w:spacing w:lineRule="exact" w:line="440" w:before="0" w:after="0"/>
        <w:ind w:firstLine="560"/>
        <w:jc w:val="both"/>
      </w:pPr>
      <w:r>
        <w:rPr>
          <w:rFonts w:ascii="Times New Roman" w:hAnsi="Times New Roman" w:eastAsia="宋体"/>
          <w:b w:val="0"/>
          <w:color w:val="000000"/>
          <w:sz w:val="28"/>
        </w:rPr>
        <w:t>后端启动时按固定顺序注册中间件链，所有请求必须依次经过日志、审计、限流和错误归一化四层处理后，才会进入业务路由，如代码块2所示：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代码块2</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app.use(requestLogger);  // 记录请求方法、路径、IP</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app.use(auditTrail);  // 写操作留审计记录</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app.use(rateLimit({ windowMs: 60000, max: 100 }));  // 每分钟100次限流</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app.use('/api/auth', authRouter);  // 认证路由（无需鉴权）</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app.use('/api/strategies', authGuard, strategyRouter);  // 策略路由（需鉴权）</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app.use('/api/analysis', authGuard, analysisRouter);  // 分析路由（需鉴权）</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app.use(unifiedErrorHandler);  // 兜底错误归一化</w:t>
            </w:r>
          </w:p>
        </w:tc>
      </w:tr>
    </w:tbl>
    <w:p>
      <w:pPr>
        <w:spacing w:lineRule="exact" w:line="440" w:before="0" w:after="0"/>
        <w:ind w:firstLine="560"/>
        <w:jc w:val="both"/>
      </w:pPr>
      <w:r>
        <w:rPr>
          <w:rFonts w:ascii="Times New Roman" w:hAnsi="Times New Roman" w:eastAsia="宋体"/>
          <w:b w:val="0"/>
          <w:color w:val="000000"/>
          <w:sz w:val="28"/>
        </w:rPr>
        <w:t>代码块2展示了中间件链的注册顺序：日志、审计、限流三层前置处理对所有请求生效，认证路由本身不需要鉴权守卫，而策略和分析路由前额外加了 authGuard 中间件拦截未认证请求。 身份认证分两条路径。浏览器交互走JWT令牌：登录成功后签发令牌，后续请求在请求头中携带该令牌，authGuard 校验签名和有效期后放行。自动化脚本或外部系统对接则走API Key：请求携带密钥，系统验证密钥有效性并匹配到对应账户后授予受控权限。无论哪条路径，请求都必须先通过身份校验才能进入业务逻辑。代码块3展示了JWT令牌校验的核心逻辑：</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代码块3</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authGuard = (req, res, next) =&gt; {  // 认证守卫中间件</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token = req.headers.authorization?.split(' ')[1];  // 提取令牌</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(!token) return res.status(401).json({ success: false });  // 无凭证拒绝</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try { req.user = jwt.verify(token, SECRET); next(); }  // 校验通过则放行</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catch { res.status(401).json({ success: false, error: 'Token invalid' }); }  // 校验失败</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 用户信息挂载到req.user供后续路由使用</w:t>
            </w:r>
          </w:p>
        </w:tc>
      </w:tr>
    </w:tbl>
    <w:p>
      <w:pPr>
        <w:spacing w:lineRule="exact" w:line="440" w:before="0" w:after="0"/>
        <w:ind w:firstLine="560"/>
        <w:jc w:val="both"/>
      </w:pPr>
      <w:r>
        <w:rPr>
          <w:rFonts w:ascii="Times New Roman" w:hAnsi="Times New Roman" w:eastAsia="宋体"/>
          <w:b w:val="0"/>
          <w:color w:val="000000"/>
          <w:sz w:val="28"/>
        </w:rPr>
        <w:t>代码块3从Authorization头中提取令牌，校验签名和有效期后将解码的用户信息挂载到请求上下文，后续路由据此判断操作权限。 生物识别登录依据Web Authentication规范实现基础流程</w:t>
      </w:r>
      <w:hyperlink w:anchor="bm_ref_11" w:history="1">
        <w:r>
          <w:rPr>
            <w:rFonts w:eastAsia="宋体" w:ascii="Times New Roman" w:hAnsi="Times New Roman"/>
            <w:sz w:val="15"/>
            <w:szCs w:val="15"/>
            <w:vertAlign w:val="superscript"/>
            <w:position w:val="6"/>
          </w:rPr>
          <w:t xml:space="preserve">[11]</w:t>
        </w:r>
      </w:hyperlink>
      <w:r>
        <w:rPr>
          <w:rFonts w:ascii="Times New Roman" w:hAnsi="Times New Roman" w:eastAsia="宋体"/>
          <w:b w:val="0"/>
          <w:color w:val="000000"/>
          <w:sz w:val="28"/>
        </w:rPr>
        <w:t>，支持注册挑战、登录挑战、签名校验和计数器防重放。挑战值存在内存中并设置时效窗口——超时则拒绝并要求重新发起，认证计数器在每次验证通过后单调递增，若新值不大于历史值则判定为重放攻击并中止。如代码块4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代码块4</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challenge = crypto.randomBytes(32);  // 生成32字节随机挑战值</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challengeStore.set(userId, { challenge, expires: Date.now() + 60000 });  // 存入内存，60秒过期</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credential = await navigator.credentials.get({ publicKey: { challenge } });  // 调用浏览器生物识别API</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 authenticatorData, signature } = credential.response;  // 提取认证数据与签名</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verified = verifySignature(publicKey, authenticatorData, signature);  // 服务端校验签名</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(authData.counter &lt;= storedCounter) throw new Error('Replay detected');  // 计数器防重放</w:t>
            </w:r>
          </w:p>
        </w:tc>
      </w:tr>
    </w:tbl>
    <w:p>
      <w:pPr>
        <w:spacing w:lineRule="exact" w:line="440" w:before="0" w:after="0"/>
        <w:ind w:firstLine="560"/>
        <w:jc w:val="both"/>
      </w:pPr>
      <w:r>
        <w:rPr>
          <w:rFonts w:ascii="Times New Roman" w:hAnsi="Times New Roman" w:eastAsia="宋体"/>
          <w:b w:val="0"/>
          <w:color w:val="000000"/>
          <w:sz w:val="28"/>
        </w:rPr>
        <w:t>代码块4展示了生物识别的调用流程：服务端生成随机挑战值并缓存，前端调用浏览器Web Authentication API唤起指纹或面部识别，用户验证通过后将签名数据回传服务端，服务端校验签名有效性并检查计数器防止重放攻击。当前边界明确：挑战存储随进程生命周期消失，进入生产环境需迁移到持久化介质，如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bm_fig_9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图9</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2835499"/>
            <wp:docPr id="15" name="Picture 15"/>
            <wp:cNvGraphicFramePr>
              <a:graphicFrameLocks noChangeAspect="1"/>
            </wp:cNvGraphicFramePr>
            <a:graphic>
              <a:graphicData uri="http://schemas.openxmlformats.org/drawingml/2006/picture">
                <pic:pic>
                  <pic:nvPicPr>
                    <pic:cNvPr id="0" name="fig_ui_login.png"/>
                    <pic:cNvPicPr/>
                  </pic:nvPicPr>
                  <pic:blipFill>
                    <a:blip r:embed="rId23"/>
                    <a:stretch>
                      <a:fillRect/>
                    </a:stretch>
                  </pic:blipFill>
                  <pic:spPr>
                    <a:xfrm>
                      <a:off x="0" y="0"/>
                      <a:ext cx="5400000" cy="2835499"/>
                    </a:xfrm>
                    <a:prstGeom prst="rect"/>
                  </pic:spPr>
                </pic:pic>
              </a:graphicData>
            </a:graphic>
          </wp:inline>
        </w:drawing>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9071"/>
      </w:tblGrid>
      <w:tr>
        <w:trPr>
          <w:cantSplit w:val="1"/>
        </w:trPr>
        <w:tc>
          <w:tcPr>
            <w:tcW w:type="dxa" w:w="9071"/>
            <w:tcBorders>
              <w:left w:val="nil"/>
              <w:top w:val="nil" w:sz="12" w:color="000000"/>
              <w:right w:val="nil"/>
              <w:bottom w:val="single" w:sz="12" w:color="000000"/>
            </w:tcBorders>
          </w:tcPr>
          <w:p>
            <w:pPr>
              <w:spacing w:lineRule="exact" w:line="320" w:before="0" w:after="0"/>
              <w:jc w:val="center"/>
            </w:pPr>
            <w:r>
              <w:rPr>
                <w:rFonts w:ascii="Times New Roman" w:hAnsi="Times New Roman" w:eastAsia="宋体"/>
                <w:b/>
                <w:color w:val="000000"/>
                <w:sz w:val="18"/>
              </w:rPr>
            </w:r>
          </w:p>
        </w:tc>
      </w:tr>
    </w:tbl>
    <w:p>
      <w:pPr>
        <w:spacing w:lineRule="exact" w:line="320" w:before="40" w:after="120"/>
        <w:jc w:val="center"/>
      </w:pPr>
      <w:bookmarkStart w:id="75" w:name="bm_fig_9"/>
      <w:r>
        <w:rPr>
          <w:rFonts w:ascii="Times New Roman" w:hAnsi="Times New Roman" w:eastAsia="黑体"/>
          <w:b w:val="0"/>
          <w:color w:val="000000"/>
          <w:sz w:val="24"/>
        </w:rPr>
        <w:t>图9</w:t>
      </w:r>
      <w:bookmarkEnd w:id="75"/>
      <w:r>
        <w:rPr>
          <w:rFonts w:ascii="Times New Roman" w:hAnsi="Times New Roman" w:eastAsia="黑体"/>
          <w:b w:val="0"/>
          <w:color w:val="000000"/>
          <w:sz w:val="24"/>
        </w:rPr>
        <w:t xml:space="preserve"> 系统登录页面界面示意</w:t>
      </w:r>
    </w:p>
    <w:p>
      <w:pPr>
        <w:spacing w:lineRule="exact" w:line="440" w:before="120" w:after="120"/>
        <w:jc w:val="left"/>
        <w:outlineLvl w:val="1"/>
      </w:pPr>
      <w:bookmarkStart w:id="28" w:name="bm_h_0026"/>
      <w:r>
        <w:rPr>
          <w:rFonts w:ascii="Times New Roman" w:hAnsi="Times New Roman" w:eastAsia="黑体"/>
          <w:b w:val="0"/>
          <w:color w:val="000000"/>
          <w:sz w:val="28"/>
        </w:rPr>
        <w:t>5.2 策略适配与回测实现</w:t>
      </w:r>
      <w:bookmarkEnd w:id="28"/>
    </w:p>
    <w:p>
      <w:pPr>
        <w:spacing w:lineRule="exact" w:line="440" w:before="0" w:after="0"/>
        <w:ind w:firstLine="560"/>
        <w:jc w:val="both"/>
      </w:pPr>
      <w:r>
        <w:rPr>
          <w:rFonts w:ascii="Times New Roman" w:hAnsi="Times New Roman" w:eastAsia="宋体"/>
          <w:b w:val="0"/>
          <w:color w:val="000000"/>
          <w:sz w:val="28"/>
        </w:rPr>
        <w:t>第4章设计的"识别→评估→配置"三段式适配，在代码中落地为 intelligentStrategyAdapter.js 中的处理链，如代码块5所示：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代码块5</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scores = { javascript: 0, python: 0 };  // 初始化语言得分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for (const [lang, patterns] of langPatterns) {  // 遍历各语言特征集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patterns.forEach(p =&gt; {  // 逐条匹配特征</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(p.regex.test(code)) scores[lang] += p.weight;  // 命中累加权重</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language = scores.python &gt; scores.javascript ? 'python' : 'javascript';  // 取高分语言</w:t>
            </w:r>
          </w:p>
        </w:tc>
      </w:tr>
    </w:tbl>
    <w:p>
      <w:pPr>
        <w:spacing w:lineRule="exact" w:line="440" w:before="0" w:after="0"/>
        <w:ind w:firstLine="560"/>
        <w:jc w:val="both"/>
      </w:pPr>
      <w:r>
        <w:rPr>
          <w:rFonts w:ascii="Times New Roman" w:hAnsi="Times New Roman" w:eastAsia="宋体"/>
          <w:b w:val="0"/>
          <w:color w:val="000000"/>
          <w:sz w:val="28"/>
        </w:rPr>
        <w:t>代码块5展示了语言识别的核心逻辑：为每种语言维护一组正则特征及对应权重，遍历代码文本逐条匹配后累加得分，最终取得分高者作为识别结果。 语言确定之后紧接着做类型识别。系统为每种策略类别维护一组关键词：均线类匹配MA/SMA/EMA及交叉信号词，动量类匹配RSI/MACD及超买超卖阈值词，均值回归类则以布林带和偏离度为主要特征。候选得分累加后取最高者作为类型标签。复杂度评估把指标命中数、代码行数和函数定义数折算为统一分值，约束自动配置模块的参数保守程度。三段处理的输出是一个统一结构对象，下游执行引擎直接消费。 执行引擎按语言类型分流：脚本策略进入VM沙箱或子进程执行，公式策略通过Python桥接调用。两条通道的输出都归一为统一信号结构——包含动作（buy/sell/hold）、价格、时间和原因字段——回测模块不需要关心策略是哪种语言写的，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bm_fig_10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图10</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2701468"/>
            <wp:docPr id="16" name="Picture 16"/>
            <wp:cNvGraphicFramePr>
              <a:graphicFrameLocks noChangeAspect="1"/>
            </wp:cNvGraphicFramePr>
            <a:graphic>
              <a:graphicData uri="http://schemas.openxmlformats.org/drawingml/2006/picture">
                <pic:pic>
                  <pic:nvPicPr>
                    <pic:cNvPr id="0" name="fig_ui_strategy.png"/>
                    <pic:cNvPicPr/>
                  </pic:nvPicPr>
                  <pic:blipFill>
                    <a:blip r:embed="rId24"/>
                    <a:stretch>
                      <a:fillRect/>
                    </a:stretch>
                  </pic:blipFill>
                  <pic:spPr>
                    <a:xfrm>
                      <a:off x="0" y="0"/>
                      <a:ext cx="5400000" cy="2701468"/>
                    </a:xfrm>
                    <a:prstGeom prst="rect"/>
                  </pic:spPr>
                </pic:pic>
              </a:graphicData>
            </a:graphic>
          </wp:inline>
        </w:drawing>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9071"/>
      </w:tblGrid>
      <w:tr>
        <w:trPr>
          <w:cantSplit w:val="1"/>
        </w:trPr>
        <w:tc>
          <w:tcPr>
            <w:tcW w:type="dxa" w:w="9071"/>
            <w:tcBorders>
              <w:left w:val="nil"/>
              <w:top w:val="nil" w:sz="12" w:color="000000"/>
              <w:right w:val="nil"/>
              <w:bottom w:val="single" w:sz="12" w:color="000000"/>
            </w:tcBorders>
          </w:tcPr>
          <w:p>
            <w:pPr>
              <w:spacing w:lineRule="exact" w:line="320" w:before="0" w:after="0"/>
              <w:jc w:val="center"/>
            </w:pPr>
            <w:r>
              <w:rPr>
                <w:rFonts w:ascii="Times New Roman" w:hAnsi="Times New Roman" w:eastAsia="宋体"/>
                <w:b/>
                <w:color w:val="000000"/>
                <w:sz w:val="18"/>
              </w:rPr>
            </w:r>
          </w:p>
        </w:tc>
      </w:tr>
    </w:tbl>
    <w:p>
      <w:pPr>
        <w:spacing w:lineRule="exact" w:line="320" w:before="40" w:after="120"/>
        <w:jc w:val="center"/>
      </w:pPr>
      <w:bookmarkStart w:id="76" w:name="bm_fig_10"/>
      <w:r>
        <w:rPr>
          <w:rFonts w:ascii="Times New Roman" w:hAnsi="Times New Roman" w:eastAsia="黑体"/>
          <w:b w:val="0"/>
          <w:color w:val="000000"/>
          <w:sz w:val="24"/>
        </w:rPr>
        <w:t>图10</w:t>
      </w:r>
      <w:bookmarkEnd w:id="76"/>
      <w:r>
        <w:rPr>
          <w:rFonts w:ascii="Times New Roman" w:hAnsi="Times New Roman" w:eastAsia="黑体"/>
          <w:b w:val="0"/>
          <w:color w:val="000000"/>
          <w:sz w:val="24"/>
        </w:rPr>
        <w:t xml:space="preserve"> 策略管理与编辑页面界面示意</w:t>
      </w:r>
    </w:p>
    <w:p>
      <w:pPr>
        <w:spacing w:lineRule="exact" w:line="440" w:before="0" w:after="0"/>
        <w:ind w:firstLine="560"/>
        <w:jc w:val="both"/>
      </w:pPr>
      <w:r>
        <w:rPr>
          <w:rFonts w:ascii="Times New Roman" w:hAnsi="Times New Roman" w:eastAsia="宋体"/>
          <w:b w:val="0"/>
          <w:color w:val="000000"/>
          <w:sz w:val="28"/>
        </w:rPr>
        <w:t>回测采用异步流程。请求到达后先在数据库中创建一条状态为pending的回测记录，随即返回受理结果，不让用户等在接口上。后台任务接手后将状态切为running，在历史行情上逐日撮合并计算各项指标；计算完成后，期末资金、交易明细和统计数据一次性写回该记录，状态更新为completed。若执行过程中出现异常，状态则标记为failed并保留错误日志，保证每条回测记录都有明确的终态。 四项核心指标在回测完成后一次性计算并落库。风险调整后收益的经典度量方式是将超额收益除以收益波动率</w:t>
      </w:r>
      <w:hyperlink w:anchor="bm_ref_12" w:history="1">
        <w:r>
          <w:rPr>
            <w:rFonts w:eastAsia="宋体" w:ascii="Times New Roman" w:hAnsi="Times New Roman"/>
            <w:sz w:val="15"/>
            <w:szCs w:val="15"/>
            <w:vertAlign w:val="superscript"/>
            <w:position w:val="6"/>
          </w:rPr>
          <w:t xml:space="preserve">[12]</w:t>
        </w:r>
      </w:hyperlink>
      <w:r>
        <w:rPr>
          <w:rFonts w:ascii="Times New Roman" w:hAnsi="Times New Roman" w:eastAsia="宋体"/>
          <w:b w:val="0"/>
          <w:color w:val="000000"/>
          <w:sz w:val="28"/>
        </w:rPr>
        <w:t>，系统据此实现夏普比率计算，如代码块6所示：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代码块6</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totalReturn = (finalCapital - initial) / initial;  // 总收益率</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annualized = Math.pow(1 + totalReturn, 252/days) - 1;  // 年化收益（252交易日）</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maxDD = Math.max(...drawdowns);  // 最大回撤</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mean = dailyReturns.reduce((a,b) =&gt; a+b, 0) / days;  // 日均收益</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std = Math.sqrt(dailyReturns.map(r=&gt;(r-mean)2)  // 日收益标准差</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.reduce((a,b)=&gt;a+b,0) / days);</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sharpe = std &gt; 0 ? (mean/std) * Math.sqrt(252) : 0;  // 夏普比率年化</w:t>
            </w:r>
          </w:p>
        </w:tc>
      </w:tr>
    </w:tbl>
    <w:p>
      <w:pPr>
        <w:spacing w:lineRule="exact" w:line="440" w:before="0" w:after="0"/>
        <w:ind w:firstLine="560"/>
        <w:jc w:val="both"/>
      </w:pPr>
      <w:r>
        <w:rPr>
          <w:rFonts w:ascii="Times New Roman" w:hAnsi="Times New Roman" w:eastAsia="宋体"/>
          <w:b w:val="0"/>
          <w:color w:val="000000"/>
          <w:sz w:val="28"/>
        </w:rPr>
        <w:t>代码块6展示了回测指标的完整计算过程：总收益率反映区间盈亏幅度，年化收益按252个交易日折算便于跨周期比较，最大回撤衡量峰值到谷底的权益损失，夏普比率衡量每承受一单位风险所获得的超额收益，如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bm_fig_11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图11</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pStyle w:val="BodyText"/>
        <w:spacing w:before="120" w:after="0"/>
        <w:ind w:firstLine="0" w:left="0" w:right="0"/>
        <w:jc w:val="center"/>
      </w:pPr>
      <w:r>
        <w:drawing>
          <wp:inline xmlns:a="http://schemas.openxmlformats.org/drawingml/2006/main" xmlns:pic="http://schemas.openxmlformats.org/drawingml/2006/picture">
            <wp:extent cx="5400000" cy="2738228"/>
            <wp:docPr id="17" name="Picture 17"/>
            <wp:cNvGraphicFramePr>
              <a:graphicFrameLocks noChangeAspect="1"/>
            </wp:cNvGraphicFramePr>
            <a:graphic>
              <a:graphicData uri="http://schemas.openxmlformats.org/drawingml/2006/picture">
                <pic:pic>
                  <pic:nvPicPr>
                    <pic:cNvPr id="0" name="fig_ui_backtest.png"/>
                    <pic:cNvPicPr/>
                  </pic:nvPicPr>
                  <pic:blipFill>
                    <a:blip r:embed="rId25"/>
                    <a:stretch>
                      <a:fillRect/>
                    </a:stretch>
                  </pic:blipFill>
                  <pic:spPr>
                    <a:xfrm>
                      <a:off x="0" y="0"/>
                      <a:ext cx="5400000" cy="2738228"/>
                    </a:xfrm>
                    <a:prstGeom prst="rect"/>
                  </pic:spPr>
                </pic:pic>
              </a:graphicData>
            </a:graphic>
          </wp:inline>
        </w:drawing>
      </w:r>
    </w:p>
    <w:p>
      <w:pPr>
        <w:spacing w:lineRule="exact" w:line="320" w:before="40" w:after="120"/>
        <w:jc w:val="center"/>
      </w:pPr>
      <w:bookmarkStart w:id="77" w:name="bm_fig_11"/>
      <w:r>
        <w:rPr>
          <w:rFonts w:ascii="Times New Roman" w:hAnsi="Times New Roman" w:eastAsia="黑体"/>
          <w:b w:val="0"/>
          <w:color w:val="000000"/>
          <w:sz w:val="24"/>
        </w:rPr>
        <w:t>图11</w:t>
      </w:r>
      <w:bookmarkEnd w:id="77"/>
      <w:r>
        <w:rPr>
          <w:rFonts w:ascii="Times New Roman" w:hAnsi="Times New Roman" w:eastAsia="黑体"/>
          <w:b w:val="0"/>
          <w:color w:val="000000"/>
          <w:sz w:val="24"/>
        </w:rPr>
        <w:t xml:space="preserve"> 回测结果展示页面界面示意</w:t>
      </w:r>
    </w:p>
    <w:p>
      <w:pPr>
        <w:spacing w:lineRule="exact" w:line="440" w:before="120" w:after="120"/>
        <w:jc w:val="left"/>
        <w:outlineLvl w:val="1"/>
      </w:pPr>
      <w:bookmarkStart w:id="29" w:name="bm_h_0027"/>
      <w:r>
        <w:rPr>
          <w:rFonts w:ascii="Times New Roman" w:hAnsi="Times New Roman" w:eastAsia="黑体"/>
          <w:b w:val="0"/>
          <w:color w:val="000000"/>
          <w:sz w:val="28"/>
        </w:rPr>
        <w:t>5.3 多智能体协同实现</w:t>
      </w:r>
      <w:bookmarkEnd w:id="29"/>
    </w:p>
    <w:p>
      <w:pPr>
        <w:spacing w:lineRule="exact" w:line="440" w:before="0" w:after="0"/>
        <w:ind w:firstLine="560"/>
        <w:jc w:val="both"/>
      </w:pPr>
      <w:r>
        <w:rPr>
          <w:rFonts w:ascii="Times New Roman" w:hAnsi="Times New Roman" w:eastAsia="宋体"/>
          <w:b w:val="0"/>
          <w:color w:val="000000"/>
          <w:sz w:val="28"/>
        </w:rPr>
        <w:t>第4章设计的"本地优先、在线回退、兜底返回"三级策略，在 mlAgentService.js 中落地为可运行的事件处理链。 收到分析请求后，系统首先查询缓存中是否存在相同标的、相同时间窗口的近期结果，命中则直接返回。缓存未命中时进入本地推理流程：读取配置文件中声明的六个角色（市场、技术、基本面、新闻、风险、策略），逐一实例化后各自加载绑定的XGBoost模型文件，独立完成预测并输出方向（buy/sell/hold）与0到1之间的置信度。调试阶段我发现串行执行时总耗时受最慢角色制约，改为Promise.allSettled并行调度后，总耗时仅取决于单个最慢角色。融合计算即（</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bm_eq_5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公式5</w:t>
      </w:r>
      <w:r>
        <w:rPr>
          <w:rFonts w:ascii="Times New Roman" w:hAnsi="Times New Roman" w:eastAsia="宋体"/>
          <w:b w:val="0"/>
          <w:color w:val="000000"/>
          <w:sz w:val="28"/>
        </w:rPr>
        <w:fldChar w:fldCharType="end"/>
      </w:r>
      <w:r>
        <w:rPr>
          <w:rFonts w:ascii="Times New Roman" w:hAnsi="Times New Roman" w:eastAsia="宋体"/>
          <w:b w:val="0"/>
          <w:color w:val="000000"/>
          <w:sz w:val="28"/>
        </w:rPr>
        <w:t>）和（</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bm_eq_6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公式6</w:t>
      </w:r>
      <w:r>
        <w:rPr>
          <w:rFonts w:ascii="Times New Roman" w:hAnsi="Times New Roman" w:eastAsia="宋体"/>
          <w:b w:val="0"/>
          <w:color w:val="000000"/>
          <w:sz w:val="28"/>
        </w:rPr>
        <w:fldChar w:fldCharType="end"/>
      </w:r>
      <w:r>
        <w:rPr>
          <w:rFonts w:ascii="Times New Roman" w:hAnsi="Times New Roman" w:eastAsia="宋体"/>
          <w:b w:val="0"/>
          <w:color w:val="000000"/>
          <w:sz w:val="28"/>
        </w:rPr>
        <w:t>）的代码实现，如代码块7所示：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代码块7</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totalAcc = agents.reduce((s, a) =&gt; s + a.accuracy, 0);  // 准确率总和</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weights = agents.map(a =&gt; a.accuracy / totalAcc);  // 归一化权重</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scores = { buy: 0, sell: 0, hold: 0 };  // 方向得分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agents.forEach((a, i) =&gt; {  // 遍历角色</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scores[a.vote] += weights[i] * a.confidence;  // 权重×置信度累加</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best = Object.entries(scores).sort((a,b) =&gt; b[1]-a[1])[0];  // 取最高方向</w:t>
            </w:r>
          </w:p>
        </w:tc>
      </w:tr>
    </w:tbl>
    <w:p>
      <w:pPr>
        <w:spacing w:lineRule="exact" w:line="440" w:before="0" w:after="0"/>
        <w:ind w:firstLine="560"/>
        <w:jc w:val="both"/>
      </w:pPr>
      <w:r>
        <w:rPr>
          <w:rFonts w:ascii="Times New Roman" w:hAnsi="Times New Roman" w:eastAsia="宋体"/>
          <w:b w:val="0"/>
          <w:color w:val="000000"/>
          <w:sz w:val="28"/>
        </w:rPr>
        <w:t>代码块7展示了加权融合的核心逻辑：先按历史准确率归一化各角色权重，再将权重与置信度的乘积累加到对应方向上，取得分最高的方向作为最终建议。 本地推理超时或失败时，系统转入在线协同路径。在线路径分四阶段：先由基础分析角色并行输出各自结论，随后多空研究角色进行三轮结构化辩论以收敛分歧，辩论结束后交易角色综合给出动作与仓位建议，最后风险角色对仓位做调整。若在线路径也出现异常，系统返回结构完整的兜底结果，如代码块8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代码块8</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let result = await localInference(symbol, agentRoles);  // 本地推理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(!result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result = await onlineCollaboration(symbol, agentRoles);  // 在线协同</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(!result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result = buildFallbackResult(symbol, agentRoles);  // 结构化兜底</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 result始终包含action/confidence/analyses/findings字段</w:t>
            </w:r>
          </w:p>
        </w:tc>
      </w:tr>
    </w:tbl>
    <w:p>
      <w:pPr>
        <w:spacing w:lineRule="exact" w:line="440" w:before="0" w:after="0"/>
        <w:ind w:firstLine="560"/>
        <w:jc w:val="both"/>
      </w:pPr>
      <w:r>
        <w:rPr>
          <w:rFonts w:ascii="Times New Roman" w:hAnsi="Times New Roman" w:eastAsia="宋体"/>
          <w:b w:val="0"/>
          <w:color w:val="000000"/>
          <w:sz w:val="28"/>
        </w:rPr>
        <w:t>代码块8展示了三级回退策略的实现：每一级只在上一级失败后才触发，最终保证请求始终有响应、有字段、可定位来源。 前端角色选择与后端角色标识通过映射表联动。用户启用或停用角色后，选择集合随请求传递；返回时后端标识先映射为前端卡片标识，再按用户选择过滤展示。已选但未返回的角色按模板补齐内容，首个有效结果自动激活显示——用户不需要手动刷新就能看到分析进度，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图12</w:t>
      </w:r>
      <w:r>
        <w:rPr>
          <w:rFonts w:ascii="Times New Roman" w:hAnsi="Times New Roman" w:eastAsia="宋体"/>
          <w:b w:val="0"/>
          <w:color w:val="000000"/>
          <w:sz w:val="28"/>
        </w:rPr>
        <w:fldChar w:fldCharType="end"/>
      </w:r>
    </w:p>
    <w:p>
      <w:pPr>
        <w:pStyle w:val="BodyText"/>
        <w:spacing w:before="120" w:after="0"/>
        <w:ind w:firstLine="0" w:left="0" w:right="0"/>
        <w:jc w:val="center"/>
      </w:pPr>
      <w:r>
        <w:drawing>
          <wp:inline xmlns:a="http://schemas.openxmlformats.org/drawingml/2006/main" xmlns:pic="http://schemas.openxmlformats.org/drawingml/2006/picture">
            <wp:extent cx="5400000" cy="5013818"/>
            <wp:docPr id="18" name="Picture 18"/>
            <wp:cNvGraphicFramePr>
              <a:graphicFrameLocks noChangeAspect="1"/>
            </wp:cNvGraphicFramePr>
            <a:graphic>
              <a:graphicData uri="http://schemas.openxmlformats.org/drawingml/2006/picture">
                <pic:pic>
                  <pic:nvPicPr>
                    <pic:cNvPr id="0" name="fig_ui_agent.png"/>
                    <pic:cNvPicPr/>
                  </pic:nvPicPr>
                  <pic:blipFill>
                    <a:blip r:embed="rId26"/>
                    <a:stretch>
                      <a:fillRect/>
                    </a:stretch>
                  </pic:blipFill>
                  <pic:spPr>
                    <a:xfrm>
                      <a:off x="0" y="0"/>
                      <a:ext cx="5400000" cy="5013818"/>
                    </a:xfrm>
                    <a:prstGeom prst="rect"/>
                  </pic:spPr>
                </pic:pic>
              </a:graphicData>
            </a:graphic>
          </wp:inline>
        </w:drawing>
      </w:r>
    </w:p>
    <w:p>
      <w:pPr>
        <w:spacing w:lineRule="exact" w:line="320" w:before="40" w:after="120"/>
        <w:jc w:val="center"/>
      </w:pPr>
      <w:bookmarkStart w:id="78" w:name="bm_fig_12"/>
      <w:r>
        <w:rPr>
          <w:rFonts w:ascii="Times New Roman" w:hAnsi="Times New Roman" w:eastAsia="黑体"/>
          <w:b w:val="0"/>
          <w:color w:val="000000"/>
          <w:sz w:val="24"/>
        </w:rPr>
        <w:t>图12</w:t>
      </w:r>
      <w:bookmarkEnd w:id="78"/>
      <w:r>
        <w:rPr>
          <w:rFonts w:ascii="Times New Roman" w:hAnsi="Times New Roman" w:eastAsia="黑体"/>
          <w:b w:val="0"/>
          <w:color w:val="000000"/>
          <w:sz w:val="24"/>
        </w:rPr>
        <w:t xml:space="preserve"> 多智能体分析面板页面界面示意</w:t>
      </w:r>
    </w:p>
    <w:p>
      <w:pPr>
        <w:spacing w:lineRule="exact" w:line="440" w:before="120" w:after="120"/>
        <w:jc w:val="left"/>
        <w:outlineLvl w:val="1"/>
      </w:pPr>
      <w:bookmarkStart w:id="30" w:name="bm_h_0028"/>
      <w:r>
        <w:rPr>
          <w:rFonts w:ascii="Times New Roman" w:hAnsi="Times New Roman" w:eastAsia="黑体"/>
          <w:b w:val="0"/>
          <w:color w:val="000000"/>
          <w:sz w:val="28"/>
        </w:rPr>
        <w:t>5.4 数据治理与实时协同</w:t>
      </w:r>
      <w:bookmarkEnd w:id="30"/>
    </w:p>
    <w:p>
      <w:pPr>
        <w:spacing w:lineRule="exact" w:line="440" w:before="0" w:after="0"/>
        <w:ind w:firstLine="560"/>
        <w:jc w:val="both"/>
      </w:pPr>
      <w:r>
        <w:rPr>
          <w:rFonts w:ascii="Times New Roman" w:hAnsi="Times New Roman" w:eastAsia="宋体"/>
          <w:b w:val="0"/>
          <w:color w:val="000000"/>
          <w:sz w:val="28"/>
        </w:rPr>
        <w:t>数据治理的四级回退机制在 klineDataService.js 中实现为链式调用，如代码块9所示：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代码块9</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let data = await cache.get(key);  // 第一级：Redis缓存</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(!data) data = await db.findAll({ where: query });  // 第二级：历史库</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(!data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data = await multiFetch(symbol, period, sources);  // 第三级：多源拉取</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(!data) {  // 外部源全部不可用</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data = enhancedMock(symbol, period);  // 第四级：模拟兜底</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data.forEach(d =&gt; d.isSimulated = true); }  // 标记模拟来源</w:t>
            </w:r>
          </w:p>
        </w:tc>
      </w:tr>
    </w:tbl>
    <w:p>
      <w:pPr>
        <w:spacing w:lineRule="exact" w:line="440" w:before="0" w:after="0"/>
        <w:ind w:firstLine="560"/>
        <w:jc w:val="both"/>
      </w:pPr>
      <w:r>
        <w:rPr>
          <w:rFonts w:ascii="Times New Roman" w:hAnsi="Times New Roman" w:eastAsia="宋体"/>
          <w:b w:val="0"/>
          <w:color w:val="000000"/>
          <w:sz w:val="28"/>
        </w:rPr>
        <w:t>代码块9展示了四级回退的完整链路：请求先查缓存，未命中查历史库，数据不足走多源拉取，全部失败就用模拟数据兜底并打上来源标记，保证分析链路不断流。 多源拉取有个容易被忽略的问题：如果每次请求都重新挑数据源，前后两次拿到的数据可能来自不同渠道，价格口径就对不上了。我的处理办法是加了一个锁定窗口——系统选定某个源之后，在窗口期内所有请求都走同一个源，窗口过期才重新评估。增量补齐的触发条件也很具体：只有当Redis里已经有这个标的的缓存、但最新一条记录的日期比今天的交易日还早的时候，才从缺口的下一天开始往后补，补完一次性写回缓存。至于过期数据的清理，用的是Redis的SCAN命令分批游标扫描，每批删一点，不会一次性锁住整个键空间。 多源拉取的外部数据通道之一是通过Python子进程调用akshare库获取A股行情。系统在Node.js后端中通过 child_process.spawn 启动Python脚本，脚本内部调用 akshare.stock_zh_a_hist() 接口，传入股票代码、起止日期和复权类型参数，akshare从东方财富等公开数据源拉取日线级别的开高低收和成交量数据，脚本将结果序列化为JSON格式输出到标准输出流，Node.js端解析后统一转换为系统内部的K线数据结构并写入缓存。调用超时设置为15秒，超时后自动终止子进程并跳过该数据源，由下一级回退机制接管。 兜底生成的模拟数据每条都带着一个 isSimulated: true 的字段标记。这个标记不是摆设——回测引擎在撮合循环里碰到它会直接跳过这条K线，不纳入收益率和回撤的计算；指标统计模块同样会过滤掉带此标记的记录。之所以这样做，是因为早期测试中出过一次问题：模拟数据的波动率明显偏低，混进正式统计后把夏普比率拉高了不少，结论完全失真。加上来源标记之后，模拟数据只负责保持流程不中断，不会影响最终的分析结论。 实时协同基于WebSocket长连接实现。连接建立后第一步是认证——未通过认证的连接直接关闭，不允许进入订阅流程，如代码块10所示：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代码块10</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wss.on('connection', (ws, req) =&gt; {  // WebSocket连接建立</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token = extractToken(req.url);  // 从URL参数提取令牌</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(!verifyToken(token)) { ws.close(4001); return; }  // 认证失败关闭</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ws.userId = token.userId;  // 绑定用户标识</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ws.on('message', msg =&gt; dispatch(ws, JSON.parse(msg)));  // 消息分发</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heartbeat(ws, 30000);  // 30秒心跳保活</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  // 认证通过后方可订阅行情与状态推送</w:t>
            </w:r>
          </w:p>
        </w:tc>
      </w:tr>
    </w:tbl>
    <w:p>
      <w:pPr>
        <w:spacing w:lineRule="exact" w:line="440" w:before="0" w:after="0"/>
        <w:ind w:firstLine="560"/>
        <w:jc w:val="both"/>
      </w:pPr>
      <w:r>
        <w:rPr>
          <w:rFonts w:ascii="Times New Roman" w:hAnsi="Times New Roman" w:eastAsia="宋体"/>
          <w:b w:val="0"/>
          <w:color w:val="000000"/>
          <w:sz w:val="28"/>
        </w:rPr>
        <w:t>代码块10展示了WebSocket通道的建立流程：连接后先认证，认证通过绑定用户身份并注册消息处理器，同时启动心跳定时器保持连接活性，认证失败则立即关闭连接。 前端断线后按指数退避策略自动重连（间隔依次为1秒、2秒、4秒，上限30秒），重连成功后重新完成认证并恢复此前的订阅状态，确保用户无需手动刷新即可继续接收实时数据，如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图13</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pStyle w:val="BodyText"/>
        <w:spacing w:before="120" w:after="0"/>
        <w:ind w:firstLine="0" w:left="0" w:right="0"/>
        <w:jc w:val="center"/>
      </w:pPr>
      <w:r>
        <w:drawing>
          <wp:inline xmlns:a="http://schemas.openxmlformats.org/drawingml/2006/main" xmlns:pic="http://schemas.openxmlformats.org/drawingml/2006/picture">
            <wp:extent cx="5400000" cy="2735396"/>
            <wp:docPr id="19" name="Picture 19"/>
            <wp:cNvGraphicFramePr>
              <a:graphicFrameLocks noChangeAspect="1"/>
            </wp:cNvGraphicFramePr>
            <a:graphic>
              <a:graphicData uri="http://schemas.openxmlformats.org/drawingml/2006/picture">
                <pic:pic>
                  <pic:nvPicPr>
                    <pic:cNvPr id="0" name="fig_ui_market.png"/>
                    <pic:cNvPicPr/>
                  </pic:nvPicPr>
                  <pic:blipFill>
                    <a:blip r:embed="rId27"/>
                    <a:stretch>
                      <a:fillRect/>
                    </a:stretch>
                  </pic:blipFill>
                  <pic:spPr>
                    <a:xfrm>
                      <a:off x="0" y="0"/>
                      <a:ext cx="5400000" cy="2735396"/>
                    </a:xfrm>
                    <a:prstGeom prst="rect"/>
                  </pic:spPr>
                </pic:pic>
              </a:graphicData>
            </a:graphic>
          </wp:inline>
        </w:drawing>
      </w:r>
    </w:p>
    <w:p>
      <w:pPr>
        <w:spacing w:lineRule="exact" w:line="320" w:before="40" w:after="120"/>
        <w:jc w:val="center"/>
      </w:pPr>
      <w:bookmarkStart w:id="79" w:name="bm_fig_13"/>
      <w:r>
        <w:rPr>
          <w:rFonts w:ascii="Times New Roman" w:hAnsi="Times New Roman" w:eastAsia="黑体"/>
          <w:b w:val="0"/>
          <w:color w:val="000000"/>
          <w:sz w:val="24"/>
        </w:rPr>
        <w:t>图13</w:t>
      </w:r>
      <w:bookmarkEnd w:id="79"/>
      <w:r>
        <w:rPr>
          <w:rFonts w:ascii="Times New Roman" w:hAnsi="Times New Roman" w:eastAsia="黑体"/>
          <w:b w:val="0"/>
          <w:color w:val="000000"/>
          <w:sz w:val="24"/>
        </w:rPr>
        <w:t xml:space="preserve"> 行情K线与数据回放页面界面示意</w:t>
      </w:r>
    </w:p>
    <w:p>
      <w:pPr>
        <w:spacing w:lineRule="exact" w:line="440" w:before="0" w:after="0"/>
        <w:ind w:firstLine="560"/>
        <w:jc w:val="both"/>
      </w:pPr>
      <w:r>
        <w:rPr>
          <w:rFonts w:ascii="Times New Roman" w:hAnsi="Times New Roman" w:eastAsia="宋体"/>
          <w:b w:val="0"/>
          <w:color w:val="000000"/>
          <w:sz w:val="28"/>
        </w:rPr>
        <w:t>K线图绘制基于lightweight-charts库实现。行情数据经WebSocket推送到达前端后，先进入标准化管道——将时间戳统一为UTC秒级精度、价格字段转为浮点数、成交量归一化——再灌入图表实例。代码块11展示了图表初始化与K线渲染的核心逻辑：</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代码块11</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chart = createChart(container, { width, height, layout: { background: '#1a1a2e' } });  // 创建图表实例</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candleSeries = chart.addCandlestickSeries({ upColor: '#ef5350', downColor: '#26a69a' });  // 添加蜡烛线序列</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candleSeries.setData(klineData.map(d =&gt; ({ time: d.timestamp, open: d.open, high: d.high, low: d.low, close: d.close })));  // 灌入OHLC数据</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volumeSeries = chart.addHistogramSeries({ priceScaleId: 'volume' });  // 副图成交量柱状图</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volumeSeries.setData(klineData.map(d =&gt; ({ time: d.timestamp, value: d.volume, color: d.close &gt;= d.open ? '#ef5350' : '#26a69a' })));  // 涨红跌绿</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ma5 = chart.addLineSeries({ color: '#f5a623', lineWidth: 1 });  // MA5均线</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ma5.setData(calcMA(klineData, 5));  // 计算并渲染5日均线</w:t>
            </w:r>
          </w:p>
        </w:tc>
      </w:tr>
    </w:tbl>
    <w:p>
      <w:pPr>
        <w:spacing w:lineRule="exact" w:line="440" w:before="0" w:after="0"/>
        <w:ind w:firstLine="560"/>
        <w:jc w:val="both"/>
      </w:pPr>
      <w:r>
        <w:rPr>
          <w:rFonts w:ascii="Times New Roman" w:hAnsi="Times New Roman" w:eastAsia="宋体"/>
          <w:b w:val="0"/>
          <w:color w:val="000000"/>
          <w:sz w:val="28"/>
        </w:rPr>
        <w:t>代码块11创建图表实例后依次添加蜡烛线序列和成交量柱状图，蜡烛颜色按涨跌区分，成交量柱同色联动。MA5/MA10/MA20三条均线以不同颜色叠加在主图上，帮助用户直观判断趋势方向。回测完成后，买卖信号以标记点（marker）形式叠加在对应K线位置上：买入信号标绿色向上箭头，卖出信号标红色向下箭头。 图表的缩放与视口控制直接影响用户浏览大量历史数据时的体验。代码块12展示了缩放和视口联动的实现：</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代码块12</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chart.timeScale().subscribeVisibleTimeRangeChange(range =&gt; {  // 监听可见区间变化</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(!range) return;</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barsInView = chart.timeScale().getVisibleLogicalRange();  // 获取当前可见K线数量</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if (barsInView.from &lt; 10) loadMoreHistory(symbol, range.from);  // 左边界不足时加载更早数据</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chart.timeScale().applyOptions({ rightOffset: 5, barSpacing: 8 });  // 右侧留白5根、默认间距8px</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const fitVisible = () =&gt; chart.timeScale().fitContent();  // 一键适配全部数据到视口</w:t>
            </w:r>
          </w:p>
        </w:tc>
      </w:tr>
    </w:tbl>
    <w:p>
      <w:pPr>
        <w:spacing w:lineRule="exact" w:line="440" w:before="0" w:after="0"/>
        <w:ind w:firstLine="560"/>
        <w:jc w:val="both"/>
      </w:pPr>
      <w:r>
        <w:rPr>
          <w:rFonts w:ascii="Times New Roman" w:hAnsi="Times New Roman" w:eastAsia="宋体"/>
          <w:b w:val="0"/>
          <w:color w:val="000000"/>
          <w:sz w:val="28"/>
        </w:rPr>
        <w:t>代码块12通过监听可见时间区间变化事件实现动态加载：当用户向左拖拽使可见区间左边界接近数据起点时，自动请求更早的历史K线并追加到序列头部，实现无缝滚动浏览。barSpacing 控制每根K线的像素宽度，鼠标滚轮缩放时该值在最小2px到最大32px之间连续变化，同时十字光标跟随鼠标显示当日开高低收和涨跌幅。 交易模块提供模拟下单和回放交易两种模式。模拟下单面板支持市价单和限价单，用户输入标的代码、方向和数量后提交，系统按当前行情快照撮合并更新持仓和可用资金。回放交易在数据回放过程中可用——用户点击"步进"逐根K线推进，每步可手动下单，系统实时计算持仓盈亏和账户净值曲线。两种模式共享同一套持仓计算逻辑：开仓时记录成本价和数量，平仓时按加权平均成本结算盈亏，持仓列表和交易明细同步刷新。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图13</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所示，K线主图、信号标注、持仓面板和交易入口集中在同一页面，用户不需要切换视图即可完成"看行情—做判断—下单—看结果"的完整操作循环。</w:t>
      </w:r>
    </w:p>
    <w:p>
      <w:pPr>
        <w:spacing w:lineRule="exact" w:line="440" w:before="120" w:after="120"/>
        <w:jc w:val="left"/>
        <w:outlineLvl w:val="1"/>
      </w:pPr>
      <w:bookmarkStart w:id="31" w:name="bm_h_0029"/>
      <w:r>
        <w:rPr>
          <w:rFonts w:ascii="Times New Roman" w:hAnsi="Times New Roman" w:eastAsia="黑体"/>
          <w:b w:val="0"/>
          <w:color w:val="000000"/>
          <w:sz w:val="28"/>
        </w:rPr>
        <w:t>5.5 前端实现与部署</w:t>
      </w:r>
      <w:bookmarkEnd w:id="31"/>
    </w:p>
    <w:p>
      <w:pPr>
        <w:spacing w:lineRule="exact" w:line="440" w:before="0" w:after="0"/>
        <w:ind w:firstLine="560"/>
        <w:jc w:val="both"/>
      </w:pPr>
      <w:r>
        <w:rPr>
          <w:rFonts w:ascii="Times New Roman" w:hAnsi="Times New Roman" w:eastAsia="宋体"/>
          <w:b w:val="0"/>
          <w:color w:val="000000"/>
          <w:sz w:val="28"/>
        </w:rPr>
        <w:t>前端基于Vue3组合式API与Pinia状态管理构建。状态层集中管理用户会话、策略列表、回测结果和协同建议四类数据，界面组件通过计算属性绑定到相应的状态字段——当某个字段发生变化时，仅引用该字段的组件触发重新渲染，其余组件不受影响。代码块13展示了Pinia状态仓库的定义方式：</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代码块13</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export const useAnalysisStore = defineStore('analysis', {  // 协同分析状态</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state: () =&gt; ({ result: null, loading: false, roles: [] }),  // 响应式状态</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actions: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async analyze(symbol, selectedRoles) {  // 发起协同分析</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this.loading = true;  // 界面显示加载状态</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this.result = await api.post('/api/analysis/analyze', { symbol, roles: selectedRoles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this.loading = false; } } });  // 更新状态，自动触发视图刷新</w:t>
            </w:r>
          </w:p>
        </w:tc>
      </w:tr>
    </w:tbl>
    <w:p>
      <w:pPr>
        <w:spacing w:lineRule="exact" w:line="440" w:before="0" w:after="0"/>
        <w:ind w:firstLine="560"/>
        <w:jc w:val="both"/>
      </w:pPr>
      <w:r>
        <w:rPr>
          <w:rFonts w:ascii="Times New Roman" w:hAnsi="Times New Roman" w:eastAsia="宋体"/>
          <w:b w:val="0"/>
          <w:color w:val="000000"/>
          <w:sz w:val="28"/>
        </w:rPr>
        <w:t>代码块13中state声明响应式数据，actions封装异步操作，组件引用这个仓库后，loading 和 result 的变化会自动驱动界面更新，不需要手动操作DOM。 登录完成后，Vue Router的导航守卫会在跳转到主页面之前自动发起WebSocket连接请求——用户不需要手动操作，页面一切换就已经接上了实时通道。连接建成且token校验通过后，后端推过来的行情变动和分析进度更新都走这条通道，前端收到消息后写入Pinia仓库，绑定了该仓库的组件随即刷新。K线图用的是lightweight-charts，它本身不提供信号标注功能，我额外写了一层marker叠加逻辑：回测跑完后把买卖信号的时间戳和方向拿过来，在对应的K线位置上画箭头。回放模块的步进按钮每点一次就推进一根K线，持仓盈亏和账户净值在每步之后实时重算。 部署层使用Docker Compose编排四个服务，启动顺序按健康检查依赖严格控制</w:t>
      </w:r>
      <w:hyperlink w:anchor="bm_ref_13" w:history="1">
        <w:r>
          <w:rPr>
            <w:rFonts w:eastAsia="宋体" w:ascii="Times New Roman" w:hAnsi="Times New Roman"/>
            <w:sz w:val="15"/>
            <w:szCs w:val="15"/>
            <w:vertAlign w:val="superscript"/>
            <w:position w:val="6"/>
          </w:rPr>
          <w:t xml:space="preserve">[13]</w:t>
        </w:r>
      </w:hyperlink>
      <w:r>
        <w:rPr>
          <w:rFonts w:ascii="Times New Roman" w:hAnsi="Times New Roman" w:eastAsia="宋体"/>
          <w:b w:val="0"/>
          <w:color w:val="000000"/>
          <w:sz w:val="28"/>
        </w:rPr>
        <w:t>，如代码块14所示：</w:t>
      </w:r>
    </w:p>
    <w:p>
      <w:pPr>
        <w:spacing w:lineRule="exact" w:line="440" w:before="0" w:after="0"/>
        <w:jc w:val="left"/>
      </w:pPr>
    </w:p>
    <w:p>
      <w:pPr>
        <w:spacing w:lineRule="exact" w:line="360" w:before="120" w:after="40"/>
        <w:jc w:val="center"/>
      </w:pPr>
      <w:r>
        <w:rPr>
          <w:rFonts w:ascii="Times New Roman" w:hAnsi="Times New Roman" w:eastAsia="宋体"/>
          <w:b w:val="0"/>
          <w:color w:val="000000"/>
          <w:sz w:val="24"/>
        </w:rPr>
        <w:t>代码块14</w:t>
      </w:r>
    </w:p>
    <w:tbl>
      <w:tblPr>
        <w:tblW w:type="auto" w:w="0"/>
        <w:jc w:val="center"/>
        <w:tblLook w:firstColumn="1" w:firstRow="1" w:lastColumn="0" w:lastRow="0" w:noHBand="0" w:noVBand="1" w:val="04A0"/>
        <w:tblBorders>
          <w:top w:val="single" w:sz="4" w:color="000000" w:space="0"/>
          <w:left w:val="single" w:sz="4" w:color="000000" w:space="0"/>
          <w:bottom w:val="single" w:sz="4" w:color="000000" w:space="0"/>
          <w:right w:val="single" w:sz="4" w:color="000000" w:space="0"/>
          <w:insideH w:val="single" w:sz="4" w:color="000000" w:space="0"/>
          <w:insideV w:val="single" w:sz="4" w:color="000000" w:space="0"/>
        </w:tblBorders>
      </w:tblPr>
      <w:tblGrid>
        <w:gridCol w:w="9071"/>
      </w:tblGrid>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services:</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postgres: { image: postgres:15, healthcheck: { test: pg_isready } }  // 数据库先就绪</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redis: { image: redis:7, healthcheck: { test: redis-cli ping } }  // 缓存随后就绪</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backend:  // 后端等数据库和缓存健康后启动</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depends_on: { postgres: { condition: service_healthy }, redis: { condition: service_healthy } }</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frontend:  // 前端等后端健康后启动</w:t>
            </w:r>
          </w:p>
        </w:tc>
      </w:tr>
      <w:tr>
        <w:trPr>
          <w:cantSplit w:val="1"/>
        </w:trPr>
        <w:tc>
          <w:tcPr>
            <w:tcW w:type="dxa" w:w="9071"/>
            <w:tcBorders>
              <w:top w:val="single" w:sz="4" w:color="000000" w:space="0"/>
              <w:bottom w:val="single" w:sz="4" w:color="000000" w:space="0"/>
              <w:left w:val="single" w:sz="4" w:color="000000" w:space="0"/>
              <w:right w:val="single" w:sz="4" w:color="000000" w:space="0"/>
            </w:tcBorders>
          </w:tcPr>
          <w:p>
            <w:pPr>
              <w:spacing w:lineRule="exact" w:line="280" w:before="0" w:after="0"/>
              <w:jc w:val="left"/>
            </w:pPr>
            <w:r>
              <w:rPr>
                <w:rFonts w:ascii="Consolas" w:hAnsi="Consolas" w:eastAsia="宋体"/>
                <w:b w:val="0"/>
                <w:color w:val="000000"/>
                <w:sz w:val="18"/>
              </w:rPr>
              <w:t>depends_on: { backend: { condition: service_healthy } }</w:t>
            </w:r>
          </w:p>
        </w:tc>
      </w:tr>
    </w:tbl>
    <w:p>
      <w:pPr>
        <w:spacing w:lineRule="exact" w:line="440" w:before="0" w:after="0"/>
        <w:ind w:firstLine="560"/>
        <w:jc w:val="both"/>
      </w:pPr>
      <w:r>
        <w:rPr>
          <w:rFonts w:ascii="Times New Roman" w:hAnsi="Times New Roman" w:eastAsia="宋体"/>
          <w:b w:val="0"/>
          <w:color w:val="000000"/>
          <w:sz w:val="28"/>
        </w:rPr>
        <w:t>代码块14展示了Docker Compose的服务编排逻辑：PostgreSQL和Redis必须先通过健康检查，后端才会启动；后端健康探针通过后前端才拉起。这个顺序确保系统进入可服务状态时所有依赖已经就绪，避免启动初期的请求空转和错误重试。 前端Nginx网关同时承担静态资源分发、API请求转发（/api/ → backend:3000）和WebSocket升级转发，保证单一入口覆盖全部通信通道。 管理后台面向管理员，提供运维与用户管理能力，如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图14</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其中用户管理是使用频率最高的模块，支持按用户名和状态筛选注册用户，管理员可查看详情、调整权限或禁用账户。策略审计模块记录所有提交的策略及其识别结果、执行状态与风险评级，异常策略可做标记或下线。系统监控面板以仪表盘形式展示在线用户数、WebSocket连接数、API请求量、响应时延以及Redis命中率等运行指标。此外还有日志查询模块，支持按时间、路径和用户ID检索审计记录。管理后台的全部路由均需要管理员角色令牌，普通用户无权访问。</w:t>
      </w:r>
    </w:p>
    <w:p>
      <w:pPr>
        <w:pStyle w:val="BodyText"/>
        <w:spacing w:before="120" w:after="0"/>
        <w:ind w:firstLine="0" w:left="0" w:right="0"/>
        <w:jc w:val="center"/>
      </w:pPr>
      <w:r>
        <w:drawing>
          <wp:inline xmlns:a="http://schemas.openxmlformats.org/drawingml/2006/main" xmlns:pic="http://schemas.openxmlformats.org/drawingml/2006/picture">
            <wp:extent cx="5400000" cy="2259034"/>
            <wp:docPr id="20" name="Picture 20"/>
            <wp:cNvGraphicFramePr>
              <a:graphicFrameLocks noChangeAspect="1"/>
            </wp:cNvGraphicFramePr>
            <a:graphic>
              <a:graphicData uri="http://schemas.openxmlformats.org/drawingml/2006/picture">
                <pic:pic>
                  <pic:nvPicPr>
                    <pic:cNvPr id="0" name="fig_ui_admin.png"/>
                    <pic:cNvPicPr/>
                  </pic:nvPicPr>
                  <pic:blipFill>
                    <a:blip r:embed="rId28"/>
                    <a:stretch>
                      <a:fillRect/>
                    </a:stretch>
                  </pic:blipFill>
                  <pic:spPr>
                    <a:xfrm>
                      <a:off x="0" y="0"/>
                      <a:ext cx="5400000" cy="2259034"/>
                    </a:xfrm>
                    <a:prstGeom prst="rect"/>
                  </pic:spPr>
                </pic:pic>
              </a:graphicData>
            </a:graphic>
          </wp:inline>
        </w:drawing>
      </w:r>
    </w:p>
    <w:p>
      <w:pPr>
        <w:spacing w:lineRule="exact" w:line="320" w:before="40" w:after="120"/>
        <w:jc w:val="center"/>
      </w:pPr>
      <w:bookmarkStart w:id="80" w:name="bm_fig_14"/>
      <w:r>
        <w:rPr>
          <w:rFonts w:ascii="Times New Roman" w:hAnsi="Times New Roman" w:eastAsia="黑体"/>
          <w:b w:val="0"/>
          <w:color w:val="000000"/>
          <w:sz w:val="24"/>
        </w:rPr>
        <w:t>图14</w:t>
      </w:r>
      <w:bookmarkEnd w:id="80"/>
      <w:r>
        <w:rPr>
          <w:rFonts w:ascii="Times New Roman" w:hAnsi="Times New Roman" w:eastAsia="黑体"/>
          <w:b w:val="0"/>
          <w:color w:val="000000"/>
          <w:sz w:val="24"/>
        </w:rPr>
        <w:t xml:space="preserve"> 系统管理后台页面界面示意</w:t>
      </w:r>
    </w:p>
    <w:p>
      <w:pPr>
        <w:spacing w:lineRule="exact" w:line="440" w:before="0" w:after="0"/>
        <w:ind w:firstLine="560"/>
        <w:jc w:val="both"/>
      </w:pPr>
      <w:r>
        <w:rPr>
          <w:rFonts w:ascii="Times New Roman" w:hAnsi="Times New Roman" w:eastAsia="宋体"/>
          <w:b w:val="0"/>
          <w:color w:val="000000"/>
          <w:sz w:val="28"/>
        </w:rPr>
        <w:t>系统已部署在阿里云ECS服务器上，通过域名 khyquant.top 对外提供访问。部署验证和测试细节将在下一章详述。</w:t>
      </w:r>
    </w:p>
    <w:p>
      <w:pPr>
        <w:spacing w:lineRule="exact" w:line="440" w:before="0" w:after="0"/>
        <w:jc w:val="left"/>
      </w:pPr>
    </w:p>
    <w:p>
      <w:pPr>
        <w:spacing w:lineRule="exact" w:line="440" w:before="0" w:after="0"/>
        <w:jc w:val="left"/>
        <w:outlineLvl w:val="0"/>
      </w:pPr>
      <w:bookmarkStart w:id="32" w:name="bm_h_0030"/>
      <w:r>
        <w:rPr>
          <w:rFonts w:ascii="Times New Roman" w:hAnsi="Times New Roman" w:eastAsia="黑体"/>
          <w:b w:val="0"/>
          <w:color w:val="000000"/>
          <w:sz w:val="30"/>
        </w:rPr>
        <w:t>6 系统测试与部署</w:t>
      </w:r>
      <w:bookmarkEnd w:id="32"/>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系统的设计与实现已在前几章完成，本章转入验证环节：在真实请求流中确认功能是否正确，在异常条件下观察回退机制是否生效，在不同机器上检验部署行为是否一致</w:t>
      </w:r>
    </w:p>
    <w:p>
      <w:pPr>
        <w:spacing w:lineRule="exact" w:line="440" w:before="120" w:after="120"/>
        <w:jc w:val="left"/>
        <w:outlineLvl w:val="1"/>
      </w:pPr>
      <w:bookmarkStart w:id="33" w:name="bm_h_0031"/>
      <w:r>
        <w:rPr>
          <w:rFonts w:ascii="Times New Roman" w:hAnsi="Times New Roman" w:eastAsia="黑体"/>
          <w:b w:val="0"/>
          <w:color w:val="000000"/>
          <w:sz w:val="28"/>
        </w:rPr>
        <w:t>6.1 验证目标与测试方法</w:t>
      </w:r>
      <w:bookmarkEnd w:id="33"/>
    </w:p>
    <w:p>
      <w:pPr>
        <w:spacing w:lineRule="exact" w:line="440" w:before="0" w:after="0"/>
        <w:ind w:firstLine="560"/>
        <w:jc w:val="both"/>
      </w:pPr>
      <w:r>
        <w:rPr>
          <w:rFonts w:ascii="Times New Roman" w:hAnsi="Times New Roman" w:eastAsia="宋体"/>
          <w:b w:val="0"/>
          <w:color w:val="000000"/>
          <w:sz w:val="28"/>
        </w:rPr>
        <w:t>测试采用"事件链验证"而非"页面逐项点检"。后者只能确认界面元素是否可操作、数据是否显示，无法覆盖后端的状态迁移逻辑。事件链验证从请求发起开始，追踪每个事件是否按预期顺序触发、状态是否正确迁移、返回字段是否完整——任一节点出现状态跳变缺失、字段缺项或顺序错位，该条链路即判定为未通过。 验证分四个维度，每个维度都有明确的判定标准，不是"看起来正常"就算过。如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表22</w:t>
      </w:r>
      <w:r>
        <w:rPr>
          <w:rFonts w:ascii="Times New Roman" w:hAnsi="Times New Roman" w:eastAsia="宋体"/>
          <w:b w:val="0"/>
          <w:color w:val="000000"/>
          <w:sz w:val="28"/>
        </w:rPr>
        <w:fldChar w:fldCharType="end"/>
      </w:r>
      <w:r>
        <w:rPr>
          <w:rFonts w:ascii="Times New Roman" w:hAnsi="Times New Roman" w:eastAsia="宋体"/>
          <w:b w:val="0"/>
          <w:color w:val="000000"/>
          <w:sz w:val="28"/>
        </w:rPr>
        <w:t>所示：</w:t>
      </w:r>
    </w:p>
    <w:p>
      <w:pPr>
        <w:spacing w:lineRule="exact" w:line="360" w:before="120" w:after="40"/>
        <w:jc w:val="center"/>
        <w:keepNext/>
      </w:pPr>
      <w:bookmarkStart w:id="81" w:name="bm_tbl_22"/>
      <w:r>
        <w:rPr>
          <w:rFonts w:ascii="Times New Roman" w:hAnsi="Times New Roman" w:eastAsia="宋体"/>
          <w:b w:val="0"/>
          <w:color w:val="000000"/>
          <w:sz w:val="24"/>
        </w:rPr>
        <w:t>表22</w:t>
      </w:r>
      <w:bookmarkEnd w:id="81"/>
      <w:r>
        <w:rPr>
          <w:rFonts w:ascii="Times New Roman" w:hAnsi="Times New Roman" w:eastAsia="宋体"/>
          <w:b w:val="0"/>
          <w:color w:val="000000"/>
          <w:sz w:val="24"/>
        </w:rPr>
        <w:t xml:space="preserve"> 测试维度与判定标准</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3024"/>
        <w:gridCol w:w="3024"/>
        <w:gridCol w:w="3024"/>
      </w:tblGrid>
      <w:tr>
        <w:trPr>
          <w:cantSplit w:val="1"/>
        </w:trPr>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测试维度</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关键观察点</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判定标准</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功能正确性</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输入→状态迁移→输出结构</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返回字段完整，状态变化符合预期顺序</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异常恢复性</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超时、外部失败、认证失败</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进入回退路径且响应仍可用</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数据一致性</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缓存命中、增量补齐、来源切换</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同周期数据口径一致且来源可追踪</w:t>
            </w:r>
          </w:p>
        </w:tc>
      </w:tr>
      <w:tr>
        <w:trPr>
          <w:cantSplit w:val="1"/>
        </w:trPr>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部署复现性</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依赖顺序、健康检查、重启行为</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多次部署保持同一启动结果</w:t>
            </w:r>
          </w:p>
        </w:tc>
      </w:tr>
    </w:tbl>
    <w:p>
      <w:pPr>
        <w:spacing w:lineRule="exact" w:line="440" w:before="0" w:after="0"/>
        <w:ind w:firstLine="560"/>
        <w:jc w:val="both"/>
      </w:pPr>
      <w:r>
        <w:rPr>
          <w:rFonts w:ascii="Times New Roman" w:hAnsi="Times New Roman" w:eastAsia="宋体"/>
          <w:b w:val="0"/>
          <w:color w:val="000000"/>
          <w:sz w:val="28"/>
        </w:rPr>
        <w:t>验证在两个环境中交叉执行。本地联调环境便于修改代码和查看日志，主要用来确认接口语义和前后端协同是否正确。容器环境更接近真实部署条件，能暴露出本地测不到的问题——例如服务启动顺序不当导致的首次请求失败——主要用来验证依赖顺序、健康探针和故障恢复。</w:t>
      </w:r>
    </w:p>
    <w:p>
      <w:pPr>
        <w:spacing w:lineRule="exact" w:line="440" w:before="120" w:after="120"/>
        <w:jc w:val="left"/>
        <w:outlineLvl w:val="1"/>
      </w:pPr>
      <w:bookmarkStart w:id="34" w:name="bm_h_0032"/>
      <w:r>
        <w:rPr>
          <w:rFonts w:ascii="Times New Roman" w:hAnsi="Times New Roman" w:eastAsia="黑体"/>
          <w:b w:val="0"/>
          <w:color w:val="000000"/>
          <w:sz w:val="28"/>
        </w:rPr>
        <w:t>6.2 主链路功能验证</w:t>
      </w:r>
      <w:bookmarkEnd w:id="34"/>
    </w:p>
    <w:p>
      <w:pPr>
        <w:spacing w:lineRule="exact" w:line="440" w:before="0" w:after="0"/>
        <w:ind w:firstLine="560"/>
        <w:jc w:val="both"/>
      </w:pPr>
      <w:r>
        <w:rPr>
          <w:rFonts w:ascii="Times New Roman" w:hAnsi="Times New Roman" w:eastAsia="宋体"/>
          <w:b w:val="0"/>
          <w:color w:val="000000"/>
          <w:sz w:val="28"/>
        </w:rPr>
        <w:t>主流程从身份认证起步，经过策略处理、历史回测和协同分析，最终在界面上呈现结果。一次完整的验证用例需要覆盖这五个阶段，且状态信息沿事件链逐段累积：认证阶段产出用户身份，策略阶段产出执行配置与信号结构，回测阶段产出收益风险指标，协同阶段产出建议动作与分角色依据，展示阶段则将上述全部结果映射到对应的界面组件上。 我按</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bm_tbl_22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表22</w:t>
      </w:r>
      <w:r>
        <w:rPr>
          <w:rFonts w:ascii="Times New Roman" w:hAnsi="Times New Roman" w:eastAsia="宋体"/>
          <w:b w:val="0"/>
          <w:color w:val="000000"/>
          <w:sz w:val="28"/>
        </w:rPr>
        <w:fldChar w:fldCharType="end"/>
      </w:r>
      <w:r>
        <w:rPr>
          <w:rFonts w:ascii="Times New Roman" w:hAnsi="Times New Roman" w:eastAsia="宋体"/>
          <w:b w:val="0"/>
          <w:color w:val="000000"/>
          <w:sz w:val="28"/>
        </w:rPr>
        <w:t>的判定标准对五项核心功能逐一跑了验证，结果如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bm_tbl_23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表23</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spacing w:lineRule="exact" w:line="360" w:before="120" w:after="40"/>
        <w:jc w:val="center"/>
        <w:keepNext/>
      </w:pPr>
      <w:bookmarkStart w:id="82" w:name="bm_tbl_23"/>
      <w:r>
        <w:rPr>
          <w:rFonts w:ascii="Times New Roman" w:hAnsi="Times New Roman" w:eastAsia="宋体"/>
          <w:b w:val="0"/>
          <w:color w:val="000000"/>
          <w:sz w:val="24"/>
        </w:rPr>
        <w:t>表23</w:t>
      </w:r>
      <w:bookmarkEnd w:id="82"/>
      <w:r>
        <w:rPr>
          <w:rFonts w:ascii="Times New Roman" w:hAnsi="Times New Roman" w:eastAsia="宋体"/>
          <w:b w:val="0"/>
          <w:color w:val="000000"/>
          <w:sz w:val="24"/>
        </w:rPr>
        <w:t xml:space="preserve"> 核心功能验证结果</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功能项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验证内容</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判定结果</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关键观察</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认证与访问控制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JWT签发与校验、未认证拦截、审计日志</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通过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未认证请求全部返回401，审计记录完整</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策略自动适配</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Python/JS语言识别、类型判定、参数生成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通过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识别准确率超过九成，置信度与实际一致</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回测评估</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历史撮合、指标计算、状态迁移</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通过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收益率/回撤/夏普/胜率四项指标均正确落库</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协同分析</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六角色融合、在线回退、兜底返回</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通过</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本地路径和回退路径均返回完整字段结构</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实时推送</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认证后订阅、行情推送、断线重连</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通过</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匿名连接被拒绝，重连后状态自动恢复</w:t>
            </w:r>
          </w:p>
        </w:tc>
      </w:tr>
    </w:tbl>
    <w:p>
      <w:pPr>
        <w:spacing w:lineRule="exact" w:line="440" w:before="0" w:after="0"/>
        <w:ind w:firstLine="560"/>
        <w:jc w:val="both"/>
      </w:pPr>
      <w:r>
        <w:rPr>
          <w:rFonts w:ascii="Times New Roman" w:hAnsi="Times New Roman" w:eastAsia="宋体"/>
          <w:b w:val="0"/>
          <w:color w:val="000000"/>
          <w:sz w:val="28"/>
        </w:rPr>
        <w:t>策略识别准确率的统计口径是：准备了一组覆盖Python、​JavaScript和通达信公式的样本，逐条提交后比对识别结果与真实标签，正确数除以总数。超过九成这个数字就是从这组样本中跑出来的。 回放功能提供了另一种可重复验证的手段。会话建立后按步进事件返回K线和信号，自动播放与手动交易同步更新持仓和现金。相同起止区间、同一标的、同一操作序列下，重复执行后账户轨迹和统计结果保持一致——这说明回测引擎的确定性没有问题。</w:t>
      </w:r>
    </w:p>
    <w:p>
      <w:pPr>
        <w:spacing w:lineRule="exact" w:line="440" w:before="120" w:after="120"/>
        <w:jc w:val="left"/>
        <w:outlineLvl w:val="1"/>
      </w:pPr>
      <w:bookmarkStart w:id="35" w:name="bm_h_0033"/>
      <w:r>
        <w:rPr>
          <w:rFonts w:ascii="Times New Roman" w:hAnsi="Times New Roman" w:eastAsia="黑体"/>
          <w:b w:val="0"/>
          <w:color w:val="000000"/>
          <w:sz w:val="28"/>
        </w:rPr>
        <w:t>6.3 异常恢复与性能观测</w:t>
      </w:r>
      <w:bookmarkEnd w:id="35"/>
    </w:p>
    <w:p>
      <w:pPr>
        <w:spacing w:lineRule="exact" w:line="440" w:before="0" w:after="0"/>
        <w:ind w:firstLine="560"/>
        <w:jc w:val="both"/>
      </w:pPr>
      <w:r>
        <w:rPr>
          <w:rFonts w:ascii="Times New Roman" w:hAnsi="Times New Roman" w:eastAsia="宋体"/>
          <w:b w:val="0"/>
          <w:color w:val="000000"/>
          <w:sz w:val="28"/>
        </w:rPr>
        <w:t>正常跑通只是基本要求，真正考验系统的是外部依赖出问题的时候。我分别模拟了数据层、分析层和缓存层的异常场景，观察系统是否按设计进入回退路径。 数据层的验证最能体现四级回退的完整链路。我断开外部数据源后发起请求，观察到系统先尝试Redis缓存，缓存过期后转向PostgreSQL历史库，历史库无记录时尝试多源拉取，拉取超时后最终进入模拟数据兜底——整个过程请求未挂起，返回结构始终包含数据和来源标记。 分析层的验证分两步。第一步把本地ML模型文件临时移走，系统检测到推理失败后自动切换到在线协同路径，返回了完整的分角色分析结果。第二步在此基础上断开网络模拟在线也不可用，系统返回了结构化兜底结果，来源标记为fallback，前端仍能正常渲染角色卡片。 缓存层的验证则相对简单：停止Redis服务后，系统降级到进程内存缓存继续响应，缓存命中率有所下降但主流程未中断，如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bm_tbl_24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表24</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spacing w:lineRule="exact" w:line="360" w:before="120" w:after="40"/>
        <w:jc w:val="center"/>
        <w:keepNext/>
      </w:pPr>
      <w:bookmarkStart w:id="83" w:name="bm_tbl_24"/>
      <w:r>
        <w:rPr>
          <w:rFonts w:ascii="Times New Roman" w:hAnsi="Times New Roman" w:eastAsia="宋体"/>
          <w:b w:val="0"/>
          <w:color w:val="000000"/>
          <w:sz w:val="24"/>
        </w:rPr>
        <w:t>表24</w:t>
      </w:r>
      <w:bookmarkEnd w:id="83"/>
      <w:r>
        <w:rPr>
          <w:rFonts w:ascii="Times New Roman" w:hAnsi="Times New Roman" w:eastAsia="宋体"/>
          <w:b w:val="0"/>
          <w:color w:val="000000"/>
          <w:sz w:val="24"/>
        </w:rPr>
        <w:t xml:space="preserve"> 异常恢复验证结果</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2268"/>
        <w:gridCol w:w="2268"/>
        <w:gridCol w:w="2268"/>
        <w:gridCol w:w="2268"/>
      </w:tblGrid>
      <w:tr>
        <w:trPr>
          <w:cantSplit w:val="1"/>
        </w:trPr>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异常场景</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触发方式</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预期行为</w:t>
            </w:r>
          </w:p>
        </w:tc>
        <w:tc>
          <w:tcPr>
            <w:tcW w:type="dxa" w:w="2268"/>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实际表现</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外部数据源不可用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断开数据源网络连接</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回退到缓存或模拟数据</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四级回退依次触发，响应完整</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本地ML模型不可用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移除模型文件</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切换在线协同</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在线路径正常接管</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在线服务不可用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断开外网</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返回结构化兜底</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兜底结果字段完整</w:t>
            </w:r>
          </w:p>
        </w:tc>
      </w:tr>
      <w:tr>
        <w:trPr>
          <w:cantSplit w:val="1"/>
        </w:trPr>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Redis服务不可用</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停止Redis进程</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降级到内存缓存</w:t>
            </w:r>
          </w:p>
        </w:tc>
        <w:tc>
          <w:tcPr>
            <w:tcW w:type="dxa" w:w="2268"/>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主流程不中断</w:t>
            </w:r>
          </w:p>
        </w:tc>
      </w:tr>
      <w:tr>
        <w:trPr>
          <w:cantSplit w:val="1"/>
        </w:trPr>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数据库短暂中断</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重启PostgreSQL</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等待重连后恢复</w:t>
            </w:r>
          </w:p>
        </w:tc>
        <w:tc>
          <w:tcPr>
            <w:tcW w:type="dxa" w:w="2268"/>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连接池自动重建</w:t>
            </w:r>
          </w:p>
        </w:tc>
      </w:tr>
    </w:tbl>
    <w:p>
      <w:pPr>
        <w:spacing w:lineRule="exact" w:line="440" w:before="0" w:after="0"/>
        <w:ind w:firstLine="560"/>
        <w:jc w:val="both"/>
      </w:pPr>
      <w:r>
        <w:rPr>
          <w:rFonts w:ascii="Times New Roman" w:hAnsi="Times New Roman" w:eastAsia="宋体"/>
          <w:b w:val="0"/>
          <w:color w:val="000000"/>
          <w:sz w:val="28"/>
        </w:rPr>
        <w:t>性能数据是这么测的：我在阿里云2核4G的测试机上跑Docker Compose环境，用curl脚本对每类接口连续发20次请求，把每次返回的耗时记下来，去掉首次请求的冷启动数据后取平均值。之所以去掉第一次，是因为首次请求往往要建数据库连接池和加载模型文件，耗时会比正常情况高出好几倍，把它算进去会拉偏平均值，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bm_tbl_25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表25</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spacing w:lineRule="exact" w:line="360" w:before="120" w:after="40"/>
        <w:jc w:val="center"/>
        <w:keepNext/>
      </w:pPr>
      <w:bookmarkStart w:id="84" w:name="bm_tbl_25"/>
      <w:r>
        <w:rPr>
          <w:rFonts w:ascii="Times New Roman" w:hAnsi="Times New Roman" w:eastAsia="宋体"/>
          <w:b w:val="0"/>
          <w:color w:val="000000"/>
          <w:sz w:val="24"/>
        </w:rPr>
        <w:t>表25</w:t>
      </w:r>
      <w:bookmarkEnd w:id="84"/>
      <w:r>
        <w:rPr>
          <w:rFonts w:ascii="Times New Roman" w:hAnsi="Times New Roman" w:eastAsia="宋体"/>
          <w:b w:val="0"/>
          <w:color w:val="000000"/>
          <w:sz w:val="24"/>
        </w:rPr>
        <w:t xml:space="preserve"> 关键接口响应时延</w:t>
      </w:r>
    </w:p>
    <w:tbl>
      <w:tblPr>
        <w:tblW w:type="auto" w:w="0"/>
        <w:jc w:val="center"/>
        <w:tblLook w:firstColumn="1" w:firstRow="1" w:lastColumn="0" w:lastRow="0" w:noHBand="0" w:noVBand="1" w:val="04A0"/>
        <w:tblBorders>
          <w:left w:val="nil"/>
          <w:top w:val="nil"/>
          <w:right w:val="nil"/>
          <w:bottom w:val="nil"/>
          <w:insideH w:val="none"/>
          <w:insideV w:val="none"/>
        </w:tblBorders>
      </w:tblPr>
      <w:tblGrid>
        <w:gridCol w:w="3024"/>
        <w:gridCol w:w="3024"/>
        <w:gridCol w:w="3024"/>
      </w:tblGrid>
      <w:tr>
        <w:trPr>
          <w:cantSplit w:val="1"/>
        </w:trPr>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请求类型</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平均响应时间</w:t>
            </w:r>
          </w:p>
        </w:tc>
        <w:tc>
          <w:tcPr>
            <w:tcW w:type="dxa" w:w="3024"/>
            <w:tcBorders>
              <w:left w:val="nil"/>
              <w:top w:val="single" w:sz="12" w:color="000000"/>
              <w:right w:val="nil"/>
              <w:bottom w:val="single" w:sz="8" w:color="000000"/>
            </w:tcBorders>
          </w:tcPr>
          <w:p>
            <w:pPr>
              <w:spacing w:lineRule="exact" w:line="280" w:before="0" w:after="0"/>
              <w:jc w:val="center"/>
              <w:keepNext/>
            </w:pPr>
            <w:r>
              <w:rPr>
                <w:rFonts w:ascii="Times New Roman" w:hAnsi="Times New Roman" w:eastAsia="宋体"/>
                <w:b/>
                <w:color w:val="000000"/>
                <w:sz w:val="17"/>
              </w:rPr>
              <w:t>备注</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登录认证</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&lt;100ms</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JWT签发</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策略识别与适配</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&lt;200ms</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含语言+类型+复杂度+配置</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回测执行（单标的/1年）</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&lt;2s</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含历史数据加载与指标计算</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协同分析（本地路径）</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&lt;3s</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六角色融合完成</w:t>
            </w:r>
          </w:p>
        </w:tc>
      </w:tr>
      <w:tr>
        <w:trPr>
          <w:cantSplit w:val="1"/>
        </w:trPr>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协同分析（在线路径）</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3\~8s</w:t>
            </w:r>
          </w:p>
        </w:tc>
        <w:tc>
          <w:tcPr>
            <w:tcW w:type="dxa" w:w="3024"/>
            <w:tcBorders>
              <w:left w:val="nil"/>
              <w:top w:val="nil"/>
              <w:right w:val="nil"/>
              <w:bottom w:val="nil"/>
            </w:tcBorders>
          </w:tcPr>
          <w:p>
            <w:pPr>
              <w:spacing w:lineRule="exact" w:line="280" w:before="0" w:after="0"/>
              <w:jc w:val="center"/>
              <w:keepNext/>
            </w:pPr>
            <w:r>
              <w:rPr>
                <w:rFonts w:ascii="Times New Roman" w:hAnsi="Times New Roman" w:eastAsia="宋体"/>
                <w:b w:val="0"/>
                <w:color w:val="000000"/>
                <w:sz w:val="17"/>
              </w:rPr>
              <w:t>取决于外部模型响应速度</w:t>
            </w:r>
          </w:p>
        </w:tc>
      </w:tr>
      <w:tr>
        <w:trPr>
          <w:cantSplit w:val="1"/>
        </w:trPr>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行情数据（缓存命中）</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&lt;50ms</w:t>
            </w:r>
          </w:p>
        </w:tc>
        <w:tc>
          <w:tcPr>
            <w:tcW w:type="dxa" w:w="3024"/>
            <w:tcBorders>
              <w:left w:val="nil"/>
              <w:top w:val="nil"/>
              <w:right w:val="nil"/>
              <w:bottom w:val="single" w:sz="12" w:color="000000"/>
            </w:tcBorders>
          </w:tcPr>
          <w:p>
            <w:pPr>
              <w:spacing w:lineRule="exact" w:line="280" w:before="0" w:after="0"/>
              <w:jc w:val="center"/>
            </w:pPr>
            <w:r>
              <w:rPr>
                <w:rFonts w:ascii="Times New Roman" w:hAnsi="Times New Roman" w:eastAsia="宋体"/>
                <w:b w:val="0"/>
                <w:color w:val="000000"/>
                <w:sz w:val="17"/>
              </w:rPr>
              <w:t>Redis直接返回</w:t>
            </w:r>
          </w:p>
        </w:tc>
      </w:tr>
    </w:tbl>
    <w:p>
      <w:pPr>
        <w:spacing w:lineRule="exact" w:line="440" w:before="0" w:after="0"/>
        <w:ind w:firstLine="560"/>
        <w:jc w:val="both"/>
      </w:pPr>
      <w:r>
        <w:rPr>
          <w:rFonts w:ascii="Times New Roman" w:hAnsi="Times New Roman" w:eastAsia="宋体"/>
          <w:b w:val="0"/>
          <w:color w:val="000000"/>
          <w:sz w:val="28"/>
        </w:rPr>
        <w:t>从</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bm_tbl_25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表25</w:t>
      </w:r>
      <w:r>
        <w:rPr>
          <w:rFonts w:ascii="Times New Roman" w:hAnsi="Times New Roman" w:eastAsia="宋体"/>
          <w:b w:val="0"/>
          <w:color w:val="000000"/>
          <w:sz w:val="28"/>
        </w:rPr>
        <w:fldChar w:fldCharType="end"/>
      </w:r>
      <w:r>
        <w:rPr>
          <w:rFonts w:ascii="Times New Roman" w:hAnsi="Times New Roman" w:eastAsia="宋体"/>
          <w:b w:val="0"/>
          <w:color w:val="000000"/>
          <w:sz w:val="28"/>
        </w:rPr>
        <w:t>的数据看，本地路径的协同分析平均在3秒以内出结果，六个角色并行推理是主要耗时来源，其中技术角色因为要计算的指标最多，往往是最后一个返回的。在线路径的时延就不太可控了——外部大模型的响应快的时候3秒多，慢的时候能到8秒，具体取决于模型端的排队情况。不过即便在线路径超时，系统也不会卡住，15秒的超时阈值一到就会中断在线请求、返回兜底结果，用户最多等十几秒就能看到分析面板。</w:t>
      </w:r>
    </w:p>
    <w:p>
      <w:pPr>
        <w:spacing w:lineRule="exact" w:line="440" w:before="120" w:after="120"/>
        <w:jc w:val="left"/>
        <w:outlineLvl w:val="1"/>
      </w:pPr>
      <w:bookmarkStart w:id="36" w:name="bm_h_0034"/>
      <w:r>
        <w:rPr>
          <w:rFonts w:ascii="Times New Roman" w:hAnsi="Times New Roman" w:eastAsia="黑体"/>
          <w:b w:val="0"/>
          <w:color w:val="000000"/>
          <w:sz w:val="28"/>
        </w:rPr>
        <w:t>6.4 部署验证与系统边界</w:t>
      </w:r>
      <w:bookmarkEnd w:id="36"/>
    </w:p>
    <w:p>
      <w:pPr>
        <w:spacing w:lineRule="exact" w:line="440" w:before="0" w:after="0"/>
        <w:ind w:firstLine="560"/>
        <w:jc w:val="both"/>
      </w:pPr>
      <w:r>
        <w:rPr>
          <w:rFonts w:ascii="Times New Roman" w:hAnsi="Times New Roman" w:eastAsia="宋体"/>
          <w:b w:val="0"/>
          <w:color w:val="000000"/>
          <w:sz w:val="28"/>
        </w:rPr>
        <w:t>部署验证要回答的问题是：同一份 docker-compose.yml 在不同机器上启动，得到的行为是不是一样。 我在本地开发机和阿里云服务器上各执行了多次 docker compose up，观察启动顺序和服务可用性。面向微服务架构的容器级资源供给方法研究表明，服务部署粒度与资源调度策略直接影响运行期的稳定性</w:t>
      </w:r>
      <w:hyperlink w:anchor="bm_ref_14" w:history="1">
        <w:r>
          <w:rPr>
            <w:rFonts w:eastAsia="宋体" w:ascii="Times New Roman" w:hAnsi="Times New Roman"/>
            <w:sz w:val="15"/>
            <w:szCs w:val="15"/>
            <w:vertAlign w:val="superscript"/>
            <w:position w:val="6"/>
          </w:rPr>
          <w:t xml:space="preserve">[14]</w:t>
        </w:r>
      </w:hyperlink>
      <w:r>
        <w:rPr>
          <w:rFonts w:ascii="Times New Roman" w:hAnsi="Times New Roman" w:eastAsia="宋体"/>
          <w:b w:val="0"/>
          <w:color w:val="000000"/>
          <w:sz w:val="28"/>
        </w:rPr>
        <w:t>；系统据此把健康检查作为启动门控——PostgreSQL和Redis先通过健康探针，后端才允许启动；后端探针通过后前端才拉起。多次重复部署后，启动顺序和首次请求成功率保持一致，如</w:t>
      </w:r>
      <w:r>
        <w:rPr>
          <w:rFonts w:ascii="Times New Roman" w:hAnsi="Times New Roman" w:eastAsia="宋体"/>
          <w:b w:val="0"/>
          <w:color w:val="000000"/>
          <w:sz w:val="28"/>
        </w:rPr>
        <w:fldChar w:fldCharType="begin"/>
      </w:r>
      <w:r>
        <w:rPr>
          <w:rFonts w:ascii="Times New Roman" w:hAnsi="Times New Roman" w:eastAsia="宋体"/>
          <w:b w:val="0"/>
          <w:color w:val="000000"/>
          <w:sz w:val="28"/>
        </w:rPr>
        <w:instrText xml:space="preserve"> REF bm_fig_15 \h </w:instrText>
      </w:r>
      <w:r>
        <w:rPr>
          <w:rFonts w:ascii="Times New Roman" w:hAnsi="Times New Roman" w:eastAsia="宋体"/>
          <w:b w:val="0"/>
          <w:color w:val="000000"/>
          <w:sz w:val="28"/>
        </w:rPr>
        <w:fldChar w:fldCharType="separate"/>
      </w:r>
      <w:r>
        <w:rPr>
          <w:rFonts w:ascii="Times New Roman" w:hAnsi="Times New Roman" w:eastAsia="宋体"/>
          <w:b w:val="0"/>
          <w:color w:val="000000"/>
          <w:sz w:val="28"/>
        </w:rPr>
        <w:t>图15</w:t>
      </w:r>
      <w:r>
        <w:rPr>
          <w:rFonts w:ascii="Times New Roman" w:hAnsi="Times New Roman" w:eastAsia="宋体"/>
          <w:b w:val="0"/>
          <w:color w:val="000000"/>
          <w:sz w:val="28"/>
        </w:rPr>
        <w:fldChar w:fldCharType="end"/>
      </w:r>
      <w:r>
        <w:rPr>
          <w:rFonts w:ascii="Times New Roman" w:hAnsi="Times New Roman" w:eastAsia="宋体"/>
          <w:b w:val="0"/>
          <w:color w:val="000000"/>
          <w:sz w:val="28"/>
        </w:rPr>
        <w:t>：</w:t>
      </w:r>
    </w:p>
    <w:p>
      <w:pPr>
        <w:pStyle w:val="BodyText"/>
        <w:spacing w:before="120" w:after="0"/>
        <w:ind w:firstLine="0" w:left="0" w:right="0"/>
        <w:jc w:val="center"/>
      </w:pPr>
      <w:r>
        <w:drawing>
          <wp:inline xmlns:a="http://schemas.openxmlformats.org/drawingml/2006/main" xmlns:pic="http://schemas.openxmlformats.org/drawingml/2006/picture">
            <wp:extent cx="5400000" cy="2082316"/>
            <wp:docPr id="21" name="Picture 21"/>
            <wp:cNvGraphicFramePr>
              <a:graphicFrameLocks noChangeAspect="1"/>
            </wp:cNvGraphicFramePr>
            <a:graphic>
              <a:graphicData uri="http://schemas.openxmlformats.org/drawingml/2006/picture">
                <pic:pic>
                  <pic:nvPicPr>
                    <pic:cNvPr id="0" name="fig_deployment.png"/>
                    <pic:cNvPicPr/>
                  </pic:nvPicPr>
                  <pic:blipFill>
                    <a:blip r:embed="rId29"/>
                    <a:stretch>
                      <a:fillRect/>
                    </a:stretch>
                  </pic:blipFill>
                  <pic:spPr>
                    <a:xfrm>
                      <a:off x="0" y="0"/>
                      <a:ext cx="5400000" cy="2082316"/>
                    </a:xfrm>
                    <a:prstGeom prst="rect"/>
                  </pic:spPr>
                </pic:pic>
              </a:graphicData>
            </a:graphic>
          </wp:inline>
        </w:drawing>
      </w:r>
    </w:p>
    <w:p>
      <w:pPr>
        <w:spacing w:lineRule="exact" w:line="320" w:before="40" w:after="120"/>
        <w:jc w:val="center"/>
      </w:pPr>
      <w:bookmarkStart w:id="85" w:name="bm_fig_15"/>
      <w:r>
        <w:rPr>
          <w:rFonts w:ascii="Times New Roman" w:hAnsi="Times New Roman" w:eastAsia="黑体"/>
          <w:b w:val="0"/>
          <w:color w:val="000000"/>
          <w:sz w:val="24"/>
        </w:rPr>
        <w:t>图15</w:t>
      </w:r>
      <w:bookmarkEnd w:id="85"/>
      <w:r>
        <w:rPr>
          <w:rFonts w:ascii="Times New Roman" w:hAnsi="Times New Roman" w:eastAsia="黑体"/>
          <w:b w:val="0"/>
          <w:color w:val="000000"/>
          <w:sz w:val="24"/>
        </w:rPr>
        <w:t xml:space="preserve"> 容器化部署与服务依赖顺序</w:t>
      </w:r>
    </w:p>
    <w:p>
      <w:pPr>
        <w:spacing w:lineRule="exact" w:line="440" w:before="0" w:after="0"/>
        <w:ind w:firstLine="560"/>
        <w:jc w:val="both"/>
      </w:pPr>
      <w:r>
        <w:rPr>
          <w:rFonts w:ascii="Times New Roman" w:hAnsi="Times New Roman" w:eastAsia="宋体"/>
          <w:b w:val="0"/>
          <w:color w:val="000000"/>
          <w:sz w:val="28"/>
        </w:rPr>
        <w:t>健康依赖机制将"启动失败"从运行时问题前移为启动阶段的可观测事件——数据库尚未就绪时后端不会对外服务，避免出现进程已运行但核心依赖不可用的假在线状态。 重启恢复也做了验证。手动停掉后端容器再拉起，观察到服务按依赖顺序重新加入运行流程，API接口在探针通过后恢复正常；与此同时，前端的指数退避重连机制自动恢复了WebSocket认证和订阅。只有在重启前后接口返回相同的响应结构、长连接恢复后能继续推送这两个条件同时满足时，部署环境的连续运行能力才视为通过。 系统目前部署在阿里云ECS上，通过域名 khyquant.top 对外提供访问。本地开发机和云端各执行了三次 docker compose up，启动日志和首次请求响应均一致，证实同一份配置文件具备跨环境的可复现性。 最后需要明确系统当前的能力边界，以便读者在正确的范围内理解测试结论： 交易执行走的是模拟链路，未对接真实券商接口，回测和分析结论反映的是策略逻辑的合理性，而非实盘表现。  生物识别的挑战值和数据回放的会话状态存储在内存中，服务重启后丢失，多实例部署时需迁移到持久化存储。 公式类策略的执行依赖外部Python环境，尚未做到完全自包含。  外部依赖抖动时响应时延会增加，极端情况下触发兜底结果，稳定性上限受外部条件约束。 上述边界不否定已验证功能在既定条件下的正确性，但使用者应在此范围内评估系统能力。</w:t>
      </w:r>
    </w:p>
    <w:p>
      <w:pPr>
        <w:spacing w:lineRule="exact" w:line="440" w:before="0" w:after="0"/>
        <w:jc w:val="left"/>
      </w:pPr>
    </w:p>
    <w:p>
      <w:pPr>
        <w:spacing w:lineRule="exact" w:line="440" w:before="0" w:after="0"/>
        <w:jc w:val="left"/>
        <w:outlineLvl w:val="0"/>
      </w:pPr>
      <w:bookmarkStart w:id="37" w:name="bm_h_0035"/>
      <w:r>
        <w:rPr>
          <w:rFonts w:ascii="Times New Roman" w:hAnsi="Times New Roman" w:eastAsia="黑体"/>
          <w:b w:val="0"/>
          <w:color w:val="000000"/>
          <w:sz w:val="30"/>
        </w:rPr>
        <w:t>7 总结</w:t>
      </w:r>
      <w:bookmarkEnd w:id="37"/>
    </w:p>
    <w:p>
      <w:pPr>
        <w:spacing w:lineRule="exact" w:line="440" w:before="0" w:after="0"/>
        <w:jc w:val="left"/>
      </w:pPr>
    </w:p>
    <w:p>
      <w:pPr>
        <w:spacing w:lineRule="exact" w:line="440" w:before="0" w:after="0"/>
        <w:ind w:firstLine="560"/>
        <w:jc w:val="both"/>
      </w:pPr>
      <w:r>
        <w:rPr>
          <w:rFonts w:ascii="Times New Roman" w:hAnsi="Times New Roman" w:eastAsia="宋体"/>
          <w:b w:val="0"/>
          <w:color w:val="000000"/>
          <w:sz w:val="28"/>
        </w:rPr>
        <w:t>本文围绕"让个人投资者在同一个平台上完成策略编写、回测验证和智能分析"这一目标，设计并实现了一套基于Vue3与多智能体协同的量化交易分析系统。 系统以事件驱动架构为主干，将策略适配、回测评估与AI协同分析串联为一条连续的数据链路。在策略适配环节，智能适配器能够自动识别Python、​JavaScript和通达信公式三种语言并生成可执行配置，测试阶段的识别准确率超过九成。回测模块在统一的数据口径下完成历史撮合，计算收益率、最大回撤、夏普比率等风险收益指标。多智能体分析是系统中设计复杂度最高的部分——六个专业角色各自输出方向判断和置信度，经准确率加权融合后形成综合建议；本地推理不可用时自动切换到在线协同，在线也失败则返回结构化兜底结果，确保用户始终能拿到可读的分析输出。数据治理层通过四级回退（Redis缓存→历史库→多源拉取→模拟兜底）保障行情数据的连续供给。部署方面，Docker Compose按健康探针依赖编排四个服务，本地与云端的多次启动行为保持一致。 测试结果表明各核心模块运行稳定，协同分析在本地路径下的响应保持在3秒以内。不过系统目前也存在明确的局限：交易执行仅走模拟链路，未对接真实券商，回测结论反映的是策略逻辑的合理性而非实盘表现；会话状态和生物识别挑战值存储在内存中，多实例部署前需要迁移到持久化介质；此外，系统尚未引入分布式链路追踪，一旦请求链路变长，定位瓶颈的效率会下降。如果后续将回测引擎改为流式处理并接入实盘行情通道，系统的实用价值将得到进一步检验。</w:t>
      </w:r>
    </w:p>
    <w:p>
      <w:pPr>
        <w:spacing w:lineRule="exact" w:line="20" w:before="0" w:after="0"/>
        <w:jc w:val="both"/>
      </w:pPr>
      <w:r>
        <w:rPr>
          <w:rFonts w:ascii="Times New Roman" w:hAnsi="Times New Roman" w:eastAsia="宋体"/>
          <w:b w:val="0"/>
          <w:color w:val="FFFFFF"/>
          <w:sz w:val="2"/>
          <w:vanish/>
          <w:sz w:val="2"/>
        </w:rPr>
        <w:br w:type="page"/>
      </w:r>
    </w:p>
    <w:p>
      <w:pPr>
        <w:spacing w:lineRule="exact" w:line="440" w:before="0" w:after="0"/>
        <w:jc w:val="left"/>
      </w:pPr>
    </w:p>
    <w:p>
      <w:pPr>
        <w:spacing w:lineRule="exact" w:line="440" w:before="0" w:after="0"/>
        <w:jc w:val="center"/>
        <w:outlineLvl w:val="0"/>
      </w:pPr>
      <w:bookmarkStart w:id="38" w:name="bm_h_0036"/>
      <w:r>
        <w:rPr>
          <w:rFonts w:ascii="Times New Roman" w:hAnsi="Times New Roman" w:eastAsia="黑体"/>
          <w:b w:val="0"/>
          <w:color w:val="000000"/>
          <w:sz w:val="30"/>
        </w:rPr>
        <w:t>参 考 文 献</w:t>
      </w:r>
      <w:bookmarkEnd w:id="38"/>
    </w:p>
    <w:p>
      <w:pPr>
        <w:spacing w:lineRule="exact" w:line="440" w:before="0" w:after="0"/>
        <w:jc w:val="left"/>
      </w:pPr>
    </w:p>
    <w:p>
      <w:pPr>
        <w:spacing w:lineRule="exact" w:line="400" w:before="30" w:after="30"/>
        <w:ind w:left="420" w:hanging="420"/>
        <w:jc w:val="left"/>
      </w:pPr>
      <w:bookmarkStart w:id="86" w:name="bm_ref_1"/>
      <w:r/>
      <w:bookmarkEnd w:id="86"/>
      <w:r>
        <w:rPr>
          <w:rFonts w:ascii="Times New Roman" w:hAnsi="Times New Roman" w:eastAsia="仿宋"/>
          <w:b w:val="0"/>
          <w:color w:val="000000"/>
          <w:sz w:val="24"/>
        </w:rPr>
        <w:t>[1]</w:t>
      </w:r>
      <w:r>
        <w:rPr>
          <w:rFonts w:ascii="Times New Roman" w:hAnsi="Times New Roman" w:eastAsia="仿宋"/>
          <w:b w:val="0"/>
          <w:color w:val="000000"/>
          <w:sz w:val="24"/>
        </w:rPr>
        <w:t xml:space="preserve"> Markowitz H. Portfolio Selection[J]. The Journal of Finance, 1952, 7(1): 77-91.</w:t>
      </w:r>
    </w:p>
    <w:p>
      <w:pPr>
        <w:spacing w:lineRule="exact" w:line="400" w:before="30" w:after="30"/>
        <w:ind w:left="420" w:hanging="420"/>
        <w:jc w:val="left"/>
      </w:pPr>
      <w:bookmarkStart w:id="87" w:name="bm_ref_2"/>
      <w:r/>
      <w:bookmarkEnd w:id="87"/>
      <w:r>
        <w:rPr>
          <w:rFonts w:ascii="Times New Roman" w:hAnsi="Times New Roman" w:eastAsia="仿宋"/>
          <w:b w:val="0"/>
          <w:color w:val="000000"/>
          <w:sz w:val="24"/>
        </w:rPr>
        <w:t>[2]</w:t>
      </w:r>
      <w:r>
        <w:rPr>
          <w:rFonts w:ascii="Times New Roman" w:hAnsi="Times New Roman" w:eastAsia="仿宋"/>
          <w:b w:val="0"/>
          <w:color w:val="000000"/>
          <w:sz w:val="24"/>
        </w:rPr>
        <w:t xml:space="preserve"> Gu S, Kelly B, Xiu D. Empirical Asset Pricing via Machine Learning[J]. The Review of Financial Studies, 2020, 33(5): 2223-2273.</w:t>
      </w:r>
    </w:p>
    <w:p>
      <w:pPr>
        <w:spacing w:lineRule="exact" w:line="400" w:before="30" w:after="30"/>
        <w:ind w:left="420" w:hanging="420"/>
        <w:jc w:val="left"/>
      </w:pPr>
      <w:bookmarkStart w:id="88" w:name="bm_ref_3"/>
      <w:r/>
      <w:bookmarkEnd w:id="88"/>
      <w:r>
        <w:rPr>
          <w:rFonts w:ascii="Times New Roman" w:hAnsi="Times New Roman" w:eastAsia="仿宋"/>
          <w:b w:val="0"/>
          <w:color w:val="000000"/>
          <w:sz w:val="24"/>
        </w:rPr>
        <w:t>[3]</w:t>
      </w:r>
      <w:r>
        <w:rPr>
          <w:rFonts w:ascii="Times New Roman" w:hAnsi="Times New Roman" w:eastAsia="仿宋"/>
          <w:b w:val="0"/>
          <w:color w:val="000000"/>
          <w:sz w:val="24"/>
        </w:rPr>
        <w:t xml:space="preserve"> Fielding R T, Taylor R N. Principled Design of the Modern Web Architecture[J]. ACM Transactions on Internet Technology, 2002, 2(2): 115-150.</w:t>
      </w:r>
    </w:p>
    <w:p>
      <w:pPr>
        <w:spacing w:lineRule="exact" w:line="400" w:before="30" w:after="30"/>
        <w:ind w:left="420" w:hanging="420"/>
        <w:jc w:val="left"/>
      </w:pPr>
      <w:bookmarkStart w:id="89" w:name="bm_ref_4"/>
      <w:r/>
      <w:bookmarkEnd w:id="89"/>
      <w:r>
        <w:rPr>
          <w:rFonts w:ascii="Times New Roman" w:hAnsi="Times New Roman" w:eastAsia="仿宋"/>
          <w:b w:val="0"/>
          <w:color w:val="000000"/>
          <w:sz w:val="24"/>
        </w:rPr>
        <w:t>[4]</w:t>
      </w:r>
      <w:r>
        <w:rPr>
          <w:rFonts w:ascii="Times New Roman" w:hAnsi="Times New Roman" w:eastAsia="仿宋"/>
          <w:b w:val="0"/>
          <w:color w:val="000000"/>
          <w:sz w:val="24"/>
        </w:rPr>
        <w:t xml:space="preserve"> 李海翔. 数据库事务处理的艺术：事务管理与并发控制[M]. 北京: 机械工业出版社, 2017.</w:t>
      </w:r>
    </w:p>
    <w:p>
      <w:pPr>
        <w:spacing w:lineRule="exact" w:line="400" w:before="30" w:after="30"/>
        <w:ind w:left="420" w:hanging="420"/>
        <w:jc w:val="left"/>
      </w:pPr>
      <w:bookmarkStart w:id="90" w:name="bm_ref_5"/>
      <w:r/>
      <w:bookmarkEnd w:id="90"/>
      <w:r>
        <w:rPr>
          <w:rFonts w:ascii="Times New Roman" w:hAnsi="Times New Roman" w:eastAsia="仿宋"/>
          <w:b w:val="0"/>
          <w:color w:val="000000"/>
          <w:sz w:val="24"/>
        </w:rPr>
        <w:t>[5]</w:t>
      </w:r>
      <w:r>
        <w:rPr>
          <w:rFonts w:ascii="Times New Roman" w:hAnsi="Times New Roman" w:eastAsia="仿宋"/>
          <w:b w:val="0"/>
          <w:color w:val="000000"/>
          <w:sz w:val="24"/>
        </w:rPr>
        <w:t xml:space="preserve"> Chen T, Guestrin C. XGBoost: A Scalable Tree Boosting System[C]//Proceedings of the 22nd ACM SIGKDD International Conference on Knowledge Discovery and Data Mining. New York: ACM, 2016: 785-794.</w:t>
      </w:r>
    </w:p>
    <w:p>
      <w:pPr>
        <w:spacing w:lineRule="exact" w:line="400" w:before="30" w:after="30"/>
        <w:ind w:left="420" w:hanging="420"/>
        <w:jc w:val="left"/>
      </w:pPr>
      <w:bookmarkStart w:id="91" w:name="bm_ref_6"/>
      <w:r/>
      <w:bookmarkEnd w:id="91"/>
      <w:r>
        <w:rPr>
          <w:rFonts w:ascii="Times New Roman" w:hAnsi="Times New Roman" w:eastAsia="仿宋"/>
          <w:b w:val="0"/>
          <w:color w:val="000000"/>
          <w:sz w:val="24"/>
        </w:rPr>
        <w:t>[6]</w:t>
      </w:r>
      <w:r>
        <w:rPr>
          <w:rFonts w:ascii="Times New Roman" w:hAnsi="Times New Roman" w:eastAsia="仿宋"/>
          <w:b w:val="0"/>
          <w:color w:val="000000"/>
          <w:sz w:val="24"/>
        </w:rPr>
        <w:t xml:space="preserve"> 吴逸文, 汤宝平, 鲁亚南, 等. 从Docker容器看容器技术的发展[J]. 计算机应用, 2023, 43(6): 1-12.</w:t>
      </w:r>
    </w:p>
    <w:p>
      <w:pPr>
        <w:spacing w:lineRule="exact" w:line="400" w:before="30" w:after="30"/>
        <w:ind w:left="420" w:hanging="420"/>
        <w:jc w:val="left"/>
      </w:pPr>
      <w:bookmarkStart w:id="92" w:name="bm_ref_7"/>
      <w:r/>
      <w:bookmarkEnd w:id="92"/>
      <w:r>
        <w:rPr>
          <w:rFonts w:ascii="Times New Roman" w:hAnsi="Times New Roman" w:eastAsia="仿宋"/>
          <w:b w:val="0"/>
          <w:color w:val="000000"/>
          <w:sz w:val="24"/>
        </w:rPr>
        <w:t>[7]</w:t>
      </w:r>
      <w:r>
        <w:rPr>
          <w:rFonts w:ascii="Times New Roman" w:hAnsi="Times New Roman" w:eastAsia="仿宋"/>
          <w:b w:val="0"/>
          <w:color w:val="000000"/>
          <w:sz w:val="24"/>
        </w:rPr>
        <w:t xml:space="preserve"> 冯志勇, 徐砚伟, 王志良, 等. 微服务技术发展的现状与展望[J]. 计算机研究与发展, 2020, 57(5): 1103-1122.</w:t>
      </w:r>
    </w:p>
    <w:p>
      <w:pPr>
        <w:spacing w:lineRule="exact" w:line="400" w:before="30" w:after="30"/>
        <w:ind w:left="420" w:hanging="420"/>
        <w:jc w:val="left"/>
      </w:pPr>
      <w:bookmarkStart w:id="93" w:name="bm_ref_8"/>
      <w:r/>
      <w:bookmarkEnd w:id="93"/>
      <w:r>
        <w:rPr>
          <w:rFonts w:ascii="Times New Roman" w:hAnsi="Times New Roman" w:eastAsia="仿宋"/>
          <w:b w:val="0"/>
          <w:color w:val="000000"/>
          <w:sz w:val="24"/>
        </w:rPr>
        <w:t>[8]</w:t>
      </w:r>
      <w:r>
        <w:rPr>
          <w:rFonts w:ascii="Times New Roman" w:hAnsi="Times New Roman" w:eastAsia="仿宋"/>
          <w:b w:val="0"/>
          <w:color w:val="000000"/>
          <w:sz w:val="24"/>
        </w:rPr>
        <w:t xml:space="preserve"> 李斌, 邵新月, 李玥阳. 机器学习驱动的基本面量化投资研究[J]. 中国工业经济, 2019(8): 61-79.</w:t>
      </w:r>
    </w:p>
    <w:p>
      <w:pPr>
        <w:spacing w:lineRule="exact" w:line="400" w:before="30" w:after="30"/>
        <w:ind w:left="420" w:hanging="420"/>
        <w:jc w:val="left"/>
      </w:pPr>
      <w:bookmarkStart w:id="94" w:name="bm_ref_9"/>
      <w:r/>
      <w:bookmarkEnd w:id="94"/>
      <w:r>
        <w:rPr>
          <w:rFonts w:ascii="Times New Roman" w:hAnsi="Times New Roman" w:eastAsia="仿宋"/>
          <w:b w:val="0"/>
          <w:color w:val="000000"/>
          <w:sz w:val="24"/>
        </w:rPr>
        <w:t>[9]</w:t>
      </w:r>
      <w:r>
        <w:rPr>
          <w:rFonts w:ascii="Times New Roman" w:hAnsi="Times New Roman" w:eastAsia="仿宋"/>
          <w:b w:val="0"/>
          <w:color w:val="000000"/>
          <w:sz w:val="24"/>
        </w:rPr>
        <w:t xml:space="preserve"> Xiao Y, Xiao C, Li M, et al. TradingAgents: Multi-Agents LLM Financial Trading Framework[J]. arXiv preprint arXiv:2412.20138, 2024.</w:t>
      </w:r>
    </w:p>
    <w:p>
      <w:pPr>
        <w:spacing w:lineRule="exact" w:line="400" w:before="30" w:after="30"/>
        <w:ind w:left="420" w:hanging="420"/>
        <w:jc w:val="left"/>
      </w:pPr>
      <w:bookmarkStart w:id="95" w:name="bm_ref_10"/>
      <w:r/>
      <w:bookmarkEnd w:id="95"/>
      <w:r>
        <w:rPr>
          <w:rFonts w:ascii="Times New Roman" w:hAnsi="Times New Roman" w:eastAsia="仿宋"/>
          <w:b w:val="0"/>
          <w:color w:val="000000"/>
          <w:sz w:val="24"/>
        </w:rPr>
        <w:t>[10]</w:t>
      </w:r>
      <w:r>
        <w:rPr>
          <w:rFonts w:ascii="Times New Roman" w:hAnsi="Times New Roman" w:eastAsia="仿宋"/>
          <w:b w:val="0"/>
          <w:color w:val="000000"/>
          <w:sz w:val="24"/>
        </w:rPr>
        <w:t xml:space="preserve"> 梁天新, 杨小平, 张建朋. 基于强化学习的金融交易系统研究与发展[J]. 软件学报, 2019, 30(S2): 184-198.</w:t>
      </w:r>
    </w:p>
    <w:p>
      <w:pPr>
        <w:spacing w:lineRule="exact" w:line="400" w:before="30" w:after="30"/>
        <w:ind w:left="420" w:hanging="420"/>
        <w:jc w:val="left"/>
      </w:pPr>
      <w:bookmarkStart w:id="96" w:name="bm_ref_11"/>
      <w:r/>
      <w:bookmarkEnd w:id="96"/>
      <w:r>
        <w:rPr>
          <w:rFonts w:ascii="Times New Roman" w:hAnsi="Times New Roman" w:eastAsia="仿宋"/>
          <w:b w:val="0"/>
          <w:color w:val="000000"/>
          <w:sz w:val="24"/>
        </w:rPr>
        <w:t>[11]</w:t>
      </w:r>
      <w:r>
        <w:rPr>
          <w:rFonts w:ascii="Times New Roman" w:hAnsi="Times New Roman" w:eastAsia="仿宋"/>
          <w:b w:val="0"/>
          <w:color w:val="000000"/>
          <w:sz w:val="24"/>
        </w:rPr>
        <w:t xml:space="preserve"> W3C. Web Authentication: An API for Accessing Public Key Credentials Level 2[S/OL]. (2021-04-08)[2025-03-15].</w:t>
      </w:r>
    </w:p>
    <w:p>
      <w:pPr>
        <w:spacing w:lineRule="exact" w:line="400" w:before="30" w:after="30"/>
        <w:ind w:left="420" w:hanging="420"/>
        <w:jc w:val="left"/>
      </w:pPr>
      <w:bookmarkStart w:id="97" w:name="bm_ref_12"/>
      <w:r/>
      <w:bookmarkEnd w:id="97"/>
      <w:r>
        <w:rPr>
          <w:rFonts w:ascii="Times New Roman" w:hAnsi="Times New Roman" w:eastAsia="仿宋"/>
          <w:b w:val="0"/>
          <w:color w:val="000000"/>
          <w:sz w:val="24"/>
        </w:rPr>
        <w:t>[12]</w:t>
      </w:r>
      <w:r>
        <w:rPr>
          <w:rFonts w:ascii="Times New Roman" w:hAnsi="Times New Roman" w:eastAsia="仿宋"/>
          <w:b w:val="0"/>
          <w:color w:val="000000"/>
          <w:sz w:val="24"/>
        </w:rPr>
        <w:t xml:space="preserve"> Sharpe W F. Mutual Fund Performance[J]. The Journal of Business, 1966, 39(1): 119-138.</w:t>
      </w:r>
    </w:p>
    <w:p>
      <w:pPr>
        <w:spacing w:lineRule="exact" w:line="400" w:before="30" w:after="30"/>
        <w:ind w:left="420" w:hanging="420"/>
        <w:jc w:val="left"/>
      </w:pPr>
      <w:bookmarkStart w:id="98" w:name="bm_ref_13"/>
      <w:r/>
      <w:bookmarkEnd w:id="98"/>
      <w:r>
        <w:rPr>
          <w:rFonts w:ascii="Times New Roman" w:hAnsi="Times New Roman" w:eastAsia="仿宋"/>
          <w:b w:val="0"/>
          <w:color w:val="000000"/>
          <w:sz w:val="24"/>
        </w:rPr>
        <w:t>[13]</w:t>
      </w:r>
      <w:r>
        <w:rPr>
          <w:rFonts w:ascii="Times New Roman" w:hAnsi="Times New Roman" w:eastAsia="仿宋"/>
          <w:b w:val="0"/>
          <w:color w:val="000000"/>
          <w:sz w:val="24"/>
        </w:rPr>
        <w:t xml:space="preserve"> Docker Inc. Docker Compose Overview[EB/OL]. (2024-01-10)[2025-03-15].</w:t>
      </w:r>
    </w:p>
    <w:p>
      <w:pPr>
        <w:spacing w:lineRule="exact" w:line="400" w:before="30" w:after="30"/>
        <w:ind w:left="420" w:hanging="420"/>
        <w:jc w:val="left"/>
      </w:pPr>
      <w:bookmarkStart w:id="99" w:name="bm_ref_14"/>
      <w:r/>
      <w:bookmarkEnd w:id="99"/>
      <w:r>
        <w:rPr>
          <w:rFonts w:ascii="Times New Roman" w:hAnsi="Times New Roman" w:eastAsia="仿宋"/>
          <w:b w:val="0"/>
          <w:color w:val="000000"/>
          <w:sz w:val="24"/>
        </w:rPr>
        <w:t>[14]</w:t>
      </w:r>
      <w:r>
        <w:rPr>
          <w:rFonts w:ascii="Times New Roman" w:hAnsi="Times New Roman" w:eastAsia="仿宋"/>
          <w:b w:val="0"/>
          <w:color w:val="000000"/>
          <w:sz w:val="24"/>
        </w:rPr>
        <w:t xml:space="preserve"> 郝庭毅, 吕思颖, 王伟, 等. 面向微服务架构的容器级弹性资源供给方法[J]. 软件学报, 2017, 28(S2): 1-12.</w:t>
      </w:r>
    </w:p>
    <w:p>
      <w:pPr>
        <w:spacing w:lineRule="exact" w:line="400" w:before="30" w:after="30"/>
        <w:ind w:left="420" w:hanging="420"/>
        <w:jc w:val="left"/>
      </w:pPr>
      <w:bookmarkStart w:id="100" w:name="bm_ref_15"/>
      <w:r/>
      <w:bookmarkEnd w:id="100"/>
      <w:r>
        <w:rPr>
          <w:rFonts w:ascii="Times New Roman" w:hAnsi="Times New Roman" w:eastAsia="仿宋"/>
          <w:b w:val="0"/>
          <w:color w:val="000000"/>
          <w:sz w:val="24"/>
        </w:rPr>
        <w:t>[15]</w:t>
      </w:r>
      <w:r>
        <w:rPr>
          <w:rFonts w:ascii="Times New Roman" w:hAnsi="Times New Roman" w:eastAsia="仿宋"/>
          <w:b w:val="0"/>
          <w:color w:val="000000"/>
          <w:sz w:val="24"/>
        </w:rPr>
        <w:t xml:space="preserve"> 宗翔宇. 机器学习与量化交易[M]. 北京: 电子工业出版社, 2022.</w:t>
      </w:r>
    </w:p>
    <w:p>
      <w:pPr>
        <w:spacing w:lineRule="exact" w:line="20" w:before="0" w:after="0"/>
        <w:jc w:val="both"/>
      </w:pPr>
      <w:r>
        <w:rPr>
          <w:rFonts w:ascii="Times New Roman" w:hAnsi="Times New Roman" w:eastAsia="宋体"/>
          <w:b w:val="0"/>
          <w:color w:val="FFFFFF"/>
          <w:sz w:val="2"/>
          <w:vanish/>
          <w:sz w:val="2"/>
        </w:rPr>
        <w:br w:type="page"/>
      </w:r>
    </w:p>
    <w:p>
      <w:pPr>
        <w:spacing w:lineRule="exact" w:line="440" w:before="0" w:after="0"/>
        <w:jc w:val="center"/>
        <w:outlineLvl w:val="0"/>
      </w:pPr>
      <w:bookmarkStart w:id="2" w:name="bm_abs_en"/>
      <w:r>
        <w:rPr>
          <w:rFonts w:ascii="Times New Roman" w:hAnsi="Times New Roman" w:eastAsia="Times New Roman"/>
          <w:b/>
          <w:color w:val="000000"/>
          <w:sz w:val="28"/>
        </w:rPr>
        <w:t>Design and Implementation of a Quantitative Trading System Based on Vue and Multi-Agent Collaboration</w:t>
      </w:r>
      <w:bookmarkEnd w:id="2"/>
    </w:p>
    <w:p>
      <w:pPr>
        <w:spacing w:lineRule="exact" w:line="440" w:before="0" w:after="0"/>
        <w:jc w:val="center"/>
      </w:pPr>
      <w:r>
        <w:rPr>
          <w:rFonts w:ascii="Times New Roman" w:hAnsi="Times New Roman" w:eastAsia="Times New Roman"/>
          <w:b/>
          <w:color w:val="000000"/>
          <w:sz w:val="24"/>
        </w:rPr>
        <w:t>Konghao Yuan</w:t>
      </w:r>
    </w:p>
    <w:p/>
    <w:p>
      <w:pPr>
        <w:pStyle w:val="BodyText"/>
        <w:spacing w:lineRule="exact" w:line="440" w:before="0" w:after="0"/>
        <w:jc w:val="both"/>
      </w:pPr>
      <w:bookmarkStart w:id="39" w:name="bm_body_end"/>
      <w:r>
        <w:rPr>
          <w:rFonts w:ascii="Times New Roman" w:hAnsi="Times New Roman" w:eastAsia="Times New Roman"/>
          <w:b/>
          <w:color w:val="000000"/>
          <w:sz w:val="24"/>
        </w:rPr>
        <w:t>Abstract</w:t>
      </w:r>
      <w:r>
        <w:rPr>
          <w:rFonts w:ascii="Times New Roman" w:hAnsi="Times New Roman" w:eastAsia="Times New Roman"/>
          <w:b/>
          <w:color w:val="000000"/>
          <w:sz w:val="24"/>
        </w:rPr>
        <w:t>:</w:t>
      </w:r>
      <w:r>
        <w:rPr>
          <w:rFonts w:ascii="Times New Roman" w:hAnsi="Times New Roman" w:eastAsia="Times New Roman"/>
          <w:b/>
          <w:color w:val="000000"/>
          <w:sz w:val="24"/>
        </w:rPr>
        <w:t xml:space="preserve"> </w:t>
      </w:r>
      <w:r>
        <w:rPr>
          <w:rFonts w:ascii="Times New Roman" w:hAnsi="Times New Roman" w:eastAsia="Times New Roman"/>
          <w:b w:val="0"/>
          <w:color w:val="000000"/>
          <w:sz w:val="24"/>
        </w:rPr>
        <w:t>Design and Implementation of a Quantitative Trading System Based on Vue and Multi-Agent Collaboration Konghao Yuan Abstract: Quantitative investing demands programming skills, financial knowledge, and data-handling experience, a combination of requirements that keeps most individual investors at arm's length. Existing tools are either too narrowly focused or too difficult to get started with, and few offer a single platform where strategy authoring, historical backtesting, and intelligent analysis can work together. A more practical frustration is that each step typically lives in a separate tool — writing a strategy in one place, running a backtest in another, and seeking analytical advice in yet another — making the workflow cumbersome and leaving the connection between analysis results and backtest data unclear, so that researchers can hardly tell what evidence stands behind a given recommendation. This thesis addresses these problems by designing and implementing a quantitative trading analysis system based on Vue3 and multi-agent collaboration. An event-driven architecture serves as the backbone, linking strategy adaptation, backtesting evaluation, and AI-powered collaborative analysis into a continuous pipeline: after a user submits strategy code, an intelligent adapter automatically performs language recognition and parameter configuration; a backtesting engine then carries out historical verification under a unified data standard; six specialized agent roles produce analytical conclusions from their respective models and fuse them through weighted aggregation into a composite recommendation. During testing, all core functional modules ran stably, strategy recognition accuracy met expectations, and analysis responses remained within the second-level range. The system provides individual investors with an end-to-end analysis tool spanning strategy input to AI-assisted decision-making, lowering the operational barrier to quantitative research to a certain extent. Key words: Quantitative Trading; Vue3; Multi-Agent; Intelligent Strategy Adapter; Event-Driven</w:t>
      </w:r>
      <w:bookmarkEnd w:id="39"/>
    </w:p>
    <w:sectPr w:rsidR="00FC693F" w:rsidRPr="0006063C" w:rsidSect="00034616">
      <w:footerReference w:type="default" r:id="rId32"/>
      <w:pgSz w:w="11906" w:h="16838"/>
      <w:pgMar w:top="1417" w:right="1134" w:bottom="1417" w:left="1701" w:header="850" w:footer="992" w:gutter="0"/>
      <w:cols w:space="720"/>
      <w:docGrid w:linePitch="360"/>
      <w:pgNumType w:start="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spacing w:before="0" w:after="0" w:line="240" w:lineRule="auto"/>
      <w:jc w:val="center"/>
    </w:pPr>
    <w:r>
      <w:rPr>
        <w:rFonts w:ascii="Times New Roman" w:hAnsi="Times New Roman" w:eastAsia="宋体"/>
        <w:b w:val="0"/>
        <w:color w:val="000000"/>
        <w:sz w:val="24"/>
      </w:rPr>
      <w:t>第</w:t>
    </w:r>
    <w:r>
      <w:rPr>
        <w:rFonts w:ascii="Times New Roman" w:hAnsi="Times New Roman" w:eastAsia="宋体"/>
        <w:b w:val="0"/>
        <w:color w:val="000000"/>
        <w:sz w:val="24"/>
      </w:rPr>
      <w:fldChar w:fldCharType="begin"/>
    </w:r>
    <w:r>
      <w:rPr>
        <w:rFonts w:ascii="Times New Roman" w:hAnsi="Times New Roman" w:eastAsia="宋体"/>
        <w:b w:val="0"/>
        <w:color w:val="000000"/>
        <w:sz w:val="24"/>
      </w:rPr>
      <w:instrText xml:space="preserve"> PAGE </w:instrText>
    </w:r>
    <w:r>
      <w:rPr>
        <w:rFonts w:ascii="Times New Roman" w:hAnsi="Times New Roman" w:eastAsia="宋体"/>
        <w:b w:val="0"/>
        <w:color w:val="000000"/>
        <w:sz w:val="24"/>
      </w:rPr>
      <w:fldChar w:fldCharType="separate"/>
    </w:r>
    <w:r>
      <w:rPr>
        <w:rFonts w:ascii="Times New Roman" w:hAnsi="Times New Roman" w:eastAsia="宋体"/>
        <w:b w:val="0"/>
        <w:color w:val="000000"/>
        <w:sz w:val="24"/>
      </w:rPr>
      <w:t>1</w:t>
    </w:r>
    <w:r>
      <w:rPr>
        <w:rFonts w:ascii="Times New Roman" w:hAnsi="Times New Roman" w:eastAsia="宋体"/>
        <w:b w:val="0"/>
        <w:color w:val="000000"/>
        <w:sz w:val="24"/>
      </w:rPr>
      <w:fldChar w:fldCharType="end"/>
    </w:r>
    <w:r>
      <w:rPr>
        <w:rFonts w:ascii="Times New Roman" w:hAnsi="Times New Roman" w:eastAsia="宋体"/>
        <w:b w:val="0"/>
        <w:color w:val="000000"/>
        <w:sz w:val="24"/>
      </w:rPr>
      <w:t>页（共</w:t>
    </w:r>
    <w:r>
      <w:rPr>
        <w:rFonts w:ascii="Times New Roman" w:hAnsi="Times New Roman" w:eastAsia="宋体"/>
        <w:b w:val="0"/>
        <w:color w:val="000000"/>
        <w:sz w:val="24"/>
      </w:rPr>
      <w:fldChar w:fldCharType="begin"/>
    </w:r>
    <w:r>
      <w:rPr>
        <w:rFonts w:ascii="Times New Roman" w:hAnsi="Times New Roman" w:eastAsia="宋体"/>
        <w:b w:val="0"/>
        <w:color w:val="000000"/>
        <w:sz w:val="24"/>
      </w:rPr>
      <w:instrText xml:space="preserve"> PAGEREF bm_body_end </w:instrText>
    </w:r>
    <w:r>
      <w:rPr>
        <w:rFonts w:ascii="Times New Roman" w:hAnsi="Times New Roman" w:eastAsia="宋体"/>
        <w:b w:val="0"/>
        <w:color w:val="000000"/>
        <w:sz w:val="24"/>
      </w:rPr>
      <w:fldChar w:fldCharType="separate"/>
    </w:r>
    <w:r>
      <w:rPr>
        <w:rFonts w:ascii="Times New Roman" w:hAnsi="Times New Roman" w:eastAsia="宋体"/>
        <w:b w:val="0"/>
        <w:color w:val="000000"/>
        <w:sz w:val="24"/>
      </w:rPr>
      <w:t>43</w:t>
    </w:r>
    <w:r>
      <w:rPr>
        <w:rFonts w:ascii="Times New Roman" w:hAnsi="Times New Roman" w:eastAsia="宋体"/>
        <w:b w:val="0"/>
        <w:color w:val="000000"/>
        <w:sz w:val="24"/>
      </w:rPr>
      <w:fldChar w:fldCharType="end"/>
    </w:r>
    <w:r>
      <w:rPr>
        <w:rFonts w:ascii="Times New Roman" w:hAnsi="Times New Roman" w:eastAsia="宋体"/>
        <w:b w:val="0"/>
        <w:color w:val="000000"/>
        <w:sz w:val="24"/>
      </w:rPr>
      <w:t>页）</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compatibilityMode" w:uri="http://schemas.microsoft.com/office/word" w:val="15"/>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rPr>
      <w:rFonts w:ascii="Times New Roman" w:hAnsi="Times New Roman" w:eastAsia="宋体"/>
      <w:color w:val="000000"/>
      <w:sz w:val="28"/>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spacing w:before="480" w:after="0"/>
      <w:outlineLvl w:val="0"/>
    </w:pPr>
    <w:rPr>
      <w:rFonts w:asciiTheme="majorHAnsi" w:eastAsiaTheme="majorEastAsia" w:hAnsiTheme="majorHAnsi" w:cstheme="majorBidi" w:ascii="Times New Roman" w:hAnsi="Times New Roman" w:eastAsia="黑体"/>
      <w:b w:val="0"/>
      <w:bCs/>
      <w:color w:val="000000"/>
      <w:sz w:val="30"/>
      <w:szCs w:val="28"/>
    </w:rPr>
  </w:style>
  <w:style w:type="paragraph" w:styleId="Heading2">
    <w:name w:val="heading 2"/>
    <w:basedOn w:val="Normal"/>
    <w:next w:val="Normal"/>
    <w:link w:val="Heading2Char"/>
    <w:uiPriority w:val="9"/>
    <w:unhideWhenUsed/>
    <w:qFormat/>
    <w:rsid w:val="00FC693F"/>
    <w:pPr>
      <w:spacing w:before="200" w:after="0"/>
      <w:outlineLvl w:val="1"/>
    </w:pPr>
    <w:rPr>
      <w:rFonts w:asciiTheme="majorHAnsi" w:eastAsiaTheme="majorEastAsia" w:hAnsiTheme="majorHAnsi" w:cstheme="majorBidi" w:ascii="Times New Roman" w:hAnsi="Times New Roman" w:eastAsia="黑体"/>
      <w:b w:val="0"/>
      <w:bCs/>
      <w:color w:val="000000"/>
      <w:sz w:val="28"/>
      <w:szCs w:val="26"/>
    </w:rPr>
  </w:style>
  <w:style w:type="paragraph" w:styleId="Heading3">
    <w:name w:val="heading 3"/>
    <w:basedOn w:val="Normal"/>
    <w:next w:val="Normal"/>
    <w:link w:val="Heading3Char"/>
    <w:uiPriority w:val="9"/>
    <w:unhideWhenUsed/>
    <w:qFormat/>
    <w:rsid w:val="00FC693F"/>
    <w:pPr>
      <w:spacing w:before="200" w:after="0"/>
      <w:outlineLvl w:val="2"/>
    </w:pPr>
    <w:rPr>
      <w:rFonts w:asciiTheme="majorHAnsi" w:eastAsiaTheme="majorEastAsia" w:hAnsiTheme="majorHAnsi" w:cstheme="majorBidi" w:ascii="Times New Roman" w:hAnsi="Times New Roman" w:eastAsia="宋体"/>
      <w:b w:val="0"/>
      <w:bCs/>
      <w:color w:val="000000"/>
      <w:sz w:val="28"/>
    </w:rPr>
  </w:style>
  <w:style w:type="paragraph" w:styleId="Heading4">
    <w:name w:val="heading 4"/>
    <w:basedOn w:val="Normal"/>
    <w:next w:val="Normal"/>
    <w:link w:val="Heading4Char"/>
    <w:uiPriority w:val="9"/>
    <w:semiHidden/>
    <w:unhideWhenUsed/>
    <w:qFormat/>
    <w:rsid w:val="00FC693F"/>
    <w:p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rPr>
      <w:color w:val="000000"/>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rPr>
      <w:color w:val="000000"/>
    </w:r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30" Type="http://schemas.openxmlformats.org/officeDocument/2006/relationships/footer" Target="footer1.xml"/><Relationship Id="rId31" Type="http://schemas.openxmlformats.org/officeDocument/2006/relationships/footer" Target="footer2.xml"/><Relationship Id="rId3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