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AO Pivot — Runner Options (Claude Code vs Kiro CLI) and the Consulting Reframe</w:t>
      </w:r>
    </w:p>
    <w:p>
      <w:pPr>
        <w:pStyle w:val="Author"/>
      </w:pPr>
      <w:r>
        <w:t xml:space="preserve">Prepared for the AO operator</w:t>
      </w:r>
    </w:p>
    <w:p>
      <w:pPr>
        <w:pStyle w:val="Date"/>
      </w:pPr>
      <w:r>
        <w:t xml:space="preserve">2026-06-19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"1-2" \h \z \u</w:instrText>
            <w:fldChar w:fldCharType="separate"/>
            <w:fldChar w:fldCharType="end"/>
          </w:r>
        </w:p>
      </w:sdtContent>
    </w:sdt>
    <w:bookmarkStart w:id="36" w:name="Xeece26cfc26c77801d62ba38ac6bacab9878535"/>
    <w:p>
      <w:pPr>
        <w:pStyle w:val="Heading1"/>
      </w:pPr>
      <w:r>
        <w:t xml:space="preserve">AO pivot — runner options (Claude Code vs Kiro CLI) and the consulting reframe</w:t>
      </w:r>
    </w:p>
    <w:p>
      <w:pPr>
        <w:pStyle w:val="BlockText"/>
      </w:pPr>
      <w:r>
        <w:rPr>
          <w:b/>
          <w:bCs/>
        </w:rPr>
        <w:t xml:space="preserve">Companion to</w:t>
      </w:r>
      <w:r>
        <w:t xml:space="preserve"> </w:t>
      </w:r>
      <w:r>
        <w:rPr>
          <w:rStyle w:val="VerbatimChar"/>
        </w:rPr>
        <w:t xml:space="preserve">ao-claude-code-pivot-strategy-2026-06-18.md</w:t>
      </w:r>
      <w:r>
        <w:t xml:space="preserve"> </w:t>
      </w:r>
      <w:r>
        <w:t xml:space="preserve">(the main strategy doc). That doc argues for retiring AO’s hand-rolled Bedrock runtime and re-homing the differentiated content (topologies, prompts, skills, evals, archive) onto an external agentic-coding tool driven through a DAG.</w:t>
      </w:r>
      <w:r>
        <w:t xml:space="preserve"> </w:t>
      </w:r>
      <w:r>
        <w:rPr>
          <w:b/>
          <w:bCs/>
        </w:rPr>
        <w:t xml:space="preserve">This doc answers two follow-on questions:</w:t>
      </w:r>
      <w:r>
        <w:t xml:space="preserve"> </w:t>
      </w:r>
      <w:r>
        <w:t xml:space="preserve">(1)</w:t>
      </w:r>
      <w:r>
        <w:t xml:space="preserve"> </w:t>
      </w:r>
      <w:r>
        <w:rPr>
          <w:i/>
          <w:iCs/>
        </w:rPr>
        <w:t xml:space="preserve">which</w:t>
      </w:r>
      <w:r>
        <w:t xml:space="preserve"> </w:t>
      </w:r>
      <w:r>
        <w:t xml:space="preserve">external tool should drive the DAG — Claude Code, Kiro CLI, or both — and (2) how the operator’s plan to</w:t>
      </w:r>
      <w:r>
        <w:t xml:space="preserve"> </w:t>
      </w:r>
      <w:r>
        <w:rPr>
          <w:b/>
          <w:bCs/>
        </w:rPr>
        <w:t xml:space="preserve">do consulting (incl. AWS consulting), keep an AWS account for demos, and hold a Kiro Pro license</w:t>
      </w:r>
      <w:r>
        <w:t xml:space="preserve"> </w:t>
      </w:r>
      <w:r>
        <w:t xml:space="preserve">changes the picture.</w:t>
      </w:r>
    </w:p>
    <w:p>
      <w:pPr>
        <w:pStyle w:val="BlockText"/>
      </w:pPr>
      <w:r>
        <w:rPr>
          <w:b/>
          <w:bCs/>
        </w:rPr>
        <w:t xml:space="preserve">Project:</w:t>
      </w:r>
      <w:r>
        <w:t xml:space="preserve"> </w:t>
      </w:r>
      <w:r>
        <w:rPr>
          <w:b/>
          <w:bCs/>
        </w:rPr>
        <w:t xml:space="preserve">Cadora</w:t>
      </w:r>
      <w:r>
        <w:t xml:space="preserve"> </w:t>
      </w:r>
      <w:r>
        <w:t xml:space="preserve">—</w:t>
      </w:r>
      <w:r>
        <w:t xml:space="preserve"> </w:t>
      </w:r>
      <w:r>
        <w:rPr>
          <w:i/>
          <w:iCs/>
        </w:rPr>
        <w:t xml:space="preserve">an AI-DLC workflow conductor for agentic delivery</w:t>
      </w:r>
      <w:r>
        <w:t xml:space="preserve"> </w:t>
      </w:r>
      <w:r>
        <w:t xml:space="preserve">(name chosen 2026-06-19).</w:t>
      </w:r>
      <w:r>
        <w:t xml:space="preserve"> </w:t>
      </w:r>
      <w:r>
        <w:rPr>
          <w:b/>
          <w:bCs/>
        </w:rPr>
        <w:t xml:space="preserve">Status:</w:t>
      </w:r>
      <w:r>
        <w:t xml:space="preserve"> </w:t>
      </w:r>
      <w:r>
        <w:t xml:space="preserve">high-level thinking + research. No code changes. Kiro pricing/metering is fast-moving (3 models in &lt;12 months) — figures are mid-2026 snapshots; trust kiro.dev/pricing over any aggregator.</w:t>
      </w:r>
    </w:p>
    <w:p>
      <w:r>
        <w:pict>
          <v:rect style="width:0;height:1.5pt" o:hralign="center" o:hrstd="t" o:hr="t"/>
        </w:pict>
      </w:r>
    </w:p>
    <w:bookmarkStart w:id="9" w:name="the-reframe-in-one-line"/>
    <w:p>
      <w:pPr>
        <w:pStyle w:val="Heading2"/>
      </w:pPr>
      <w:r>
        <w:t xml:space="preserve">1. The reframe in one line</w:t>
      </w:r>
    </w:p>
    <w:p>
      <w:pPr>
        <w:pStyle w:val="FirstParagraph"/>
      </w:pPr>
      <w:r>
        <w:t xml:space="preserve">The operator leaves AWS (the company) on</w:t>
      </w:r>
      <w:r>
        <w:t xml:space="preserve"> </w:t>
      </w:r>
      <w:r>
        <w:rPr>
          <w:b/>
          <w:bCs/>
        </w:rPr>
        <w:t xml:space="preserve">2026-07-24</w:t>
      </w:r>
      <w:r>
        <w:t xml:space="preserve"> </w:t>
      </w:r>
      <w:r>
        <w:t xml:space="preserve">but will</w:t>
      </w:r>
      <w:r>
        <w:t xml:space="preserve"> </w:t>
      </w:r>
      <w:r>
        <w:rPr>
          <w:b/>
          <w:bCs/>
        </w:rPr>
        <w:t xml:space="preserve">do consulting, including AWS consulting</w:t>
      </w:r>
      <w:r>
        <w:t xml:space="preserve">, keep an</w:t>
      </w:r>
      <w:r>
        <w:t xml:space="preserve"> </w:t>
      </w:r>
      <w:r>
        <w:rPr>
          <w:b/>
          <w:bCs/>
        </w:rPr>
        <w:t xml:space="preserve">AWS account for consulting/demo (not primary work)</w:t>
      </w:r>
      <w:r>
        <w:t xml:space="preserve">, and hold a</w:t>
      </w:r>
      <w:r>
        <w:t xml:space="preserve"> </w:t>
      </w:r>
      <w:r>
        <w:rPr>
          <w:b/>
          <w:bCs/>
        </w:rPr>
        <w:t xml:space="preserve">Kiro Pro license</w:t>
      </w:r>
      <w:r>
        <w:t xml:space="preserve">. So AWS is</w:t>
      </w:r>
      <w:r>
        <w:t xml:space="preserve"> </w:t>
      </w:r>
      <w:r>
        <w:rPr>
          <w:b/>
          <w:bCs/>
        </w:rPr>
        <w:t xml:space="preserve">not an exit — it’s a demotion to a demo/client-facing surface.</w:t>
      </w:r>
      <w:r>
        <w:t xml:space="preserve"> </w:t>
      </w:r>
      <w:r>
        <w:t xml:space="preserve">That single shift changes three earlier conclusions: some</w:t>
      </w:r>
      <w:r>
        <w:t xml:space="preserve"> </w:t>
      </w:r>
      <w:r>
        <w:t xml:space="preserve">“AWS-coupled”</w:t>
      </w:r>
      <w:r>
        <w:t xml:space="preserve"> </w:t>
      </w:r>
      <w:r>
        <w:t xml:space="preserve">content becomes</w:t>
      </w:r>
      <w:r>
        <w:t xml:space="preserve"> </w:t>
      </w:r>
      <w:r>
        <w:rPr>
          <w:b/>
          <w:bCs/>
        </w:rPr>
        <w:t xml:space="preserve">consulting IP worth keeping</w:t>
      </w:r>
      <w:r>
        <w:t xml:space="preserve">, the choice of runner becomes</w:t>
      </w:r>
      <w:r>
        <w:t xml:space="preserve"> </w:t>
      </w:r>
      <w:r>
        <w:rPr>
          <w:b/>
          <w:bCs/>
        </w:rPr>
        <w:t xml:space="preserve">two runners for two contexts</w:t>
      </w:r>
      <w:r>
        <w:t xml:space="preserve">, and the knowledge tool gains a</w:t>
      </w:r>
      <w:r>
        <w:t xml:space="preserve"> </w:t>
      </w:r>
      <w:r>
        <w:rPr>
          <w:b/>
          <w:bCs/>
        </w:rPr>
        <w:t xml:space="preserve">commercial</w:t>
      </w:r>
      <w:r>
        <w:t xml:space="preserve"> </w:t>
      </w:r>
      <w:r>
        <w:t xml:space="preserve">rationale.</w:t>
      </w:r>
    </w:p>
    <w:p>
      <w:r>
        <w:pict>
          <v:rect style="width:0;height:1.5pt" o:hralign="center" o:hrstd="t" o:hr="t"/>
        </w:pict>
      </w:r>
    </w:p>
    <w:bookmarkEnd w:id="9"/>
    <w:bookmarkStart w:id="10" w:name="X8a2bf251c123c196bd1de5946f278ef0a446b87"/>
    <w:p>
      <w:pPr>
        <w:pStyle w:val="Heading2"/>
      </w:pPr>
      <w:r>
        <w:t xml:space="preserve">2. The core recommendation: a backend-agnostic runner</w:t>
      </w:r>
    </w:p>
    <w:p>
      <w:pPr>
        <w:pStyle w:val="FirstParagraph"/>
      </w:pPr>
      <w:r>
        <w:t xml:space="preserve">Don’t pick one vendor’s agent tool. Both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kiro-cli chat --no-interactive</w:t>
      </w:r>
      <w:r>
        <w:t xml:space="preserve"> </w:t>
      </w:r>
      <w:r>
        <w:t xml:space="preserve">are the</w:t>
      </w:r>
      <w:r>
        <w:t xml:space="preserve"> </w:t>
      </w:r>
      <w:r>
        <w:rPr>
          <w:b/>
          <w:bCs/>
        </w:rPr>
        <w:t xml:space="preserve">same shape</w:t>
      </w:r>
      <w:r>
        <w:t xml:space="preserve"> </w:t>
      </w:r>
      <w:r>
        <w:t xml:space="preserve">— a headless CLI subprocess that takes a prompt + a tool allowlist, supports MCP, and supports lifecycle hooks. So build the thin runner around an adapter and keep the DAG/archive/evals above it, untouched:</w:t>
      </w:r>
    </w:p>
    <w:p>
      <w:pPr>
        <w:pStyle w:val="SourceCode"/>
      </w:pPr>
      <w:r>
        <w:rPr>
          <w:rStyle w:val="VerbatimChar"/>
        </w:rPr>
        <w:t xml:space="preserve">NodeExecutor.run(prompt, allowed_tools, cwd, creds) -&gt; events</w:t>
      </w:r>
      <w:r>
        <w:br/>
      </w:r>
      <w:r>
        <w:rPr>
          <w:rStyle w:val="VerbatimChar"/>
        </w:rPr>
        <w:t xml:space="preserve">  ├── ClaudeCodeExecutor   →  claude -p ... --output-format stream-json</w:t>
      </w:r>
      <w:r>
        <w:br/>
      </w:r>
      <w:r>
        <w:rPr>
          <w:rStyle w:val="VerbatimChar"/>
        </w:rPr>
        <w:t xml:space="preserve">  ├── KiroExecutor         →  kiro-cli chat --no-interactive --trust-tools=...</w:t>
      </w:r>
      <w:r>
        <w:br/>
      </w:r>
      <w:r>
        <w:rPr>
          <w:rStyle w:val="VerbatimChar"/>
        </w:rPr>
        <w:t xml:space="preserve">  └── (later) AgentSdkExecutor / raw Anthropic API</w:t>
      </w:r>
    </w:p>
    <w:p>
      <w:pPr>
        <w:pStyle w:val="FirstParagraph"/>
      </w:pPr>
      <w:r>
        <w:t xml:space="preserve">Why this is the right shape</w:t>
      </w:r>
      <w:r>
        <w:t xml:space="preserve"> </w:t>
      </w:r>
      <w:r>
        <w:rPr>
          <w:b/>
          <w:bCs/>
        </w:rPr>
        <w:t xml:space="preserve">for this operator specifically</w:t>
      </w:r>
      <w:r>
        <w:t xml:space="preserve">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 vendor bet.</w:t>
      </w:r>
      <w:r>
        <w:t xml:space="preserve"> </w:t>
      </w:r>
      <w:r>
        <w:t xml:space="preserve">A backend swap is one ~100-LOC adapter, not a rewrite — valuable while Claude’s subscription billing is in flux (paused 2026-06-15) and Kiro’s credit metering keeps changing.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Experimentation becomes a feature, not a side effect.</w:t>
      </w:r>
      <w:r>
        <w:t xml:space="preserve"> </w:t>
      </w:r>
      <w:r>
        <w:t xml:space="preserve">Run the</w:t>
      </w:r>
      <w:r>
        <w:t xml:space="preserve"> </w:t>
      </w:r>
      <w:r>
        <w:rPr>
          <w:i/>
          <w:iCs/>
        </w:rPr>
        <w:t xml:space="preserve">same</w:t>
      </w:r>
      <w:r>
        <w:t xml:space="preserve"> </w:t>
      </w:r>
      <w:r>
        <w:t xml:space="preserve">topology through Claude Code vs Kiro vs raw API and diff with the</w:t>
      </w:r>
      <w:r>
        <w:t xml:space="preserve"> </w:t>
      </w:r>
      <w:r>
        <w:rPr>
          <w:rStyle w:val="VerbatimChar"/>
        </w:rPr>
        <w:t xml:space="preserve">compare_runs</w:t>
      </w:r>
      <w:r>
        <w:t xml:space="preserve"> </w:t>
      </w:r>
      <w:r>
        <w:t xml:space="preserve">/ eval tooling that already exists. This is the</w:t>
      </w:r>
      <w:r>
        <w:t xml:space="preserve"> </w:t>
      </w:r>
      <w:r>
        <w:t xml:space="preserve">“I like to capture knowledge and experimentation”</w:t>
      </w:r>
      <w:r>
        <w:t xml:space="preserve"> </w:t>
      </w:r>
      <w:r>
        <w:t xml:space="preserve">goal turned into a capability.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Two contexts, one catalog</w:t>
      </w:r>
      <w:r>
        <w:t xml:space="preserve"> </w:t>
      </w:r>
      <w:r>
        <w:t xml:space="preserve">(see §5).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Low Kiro switching cost</w:t>
      </w:r>
      <w:r>
        <w:t xml:space="preserve"> </w:t>
      </w:r>
      <w:r>
        <w:t xml:space="preserve">— the repo already carries</w:t>
      </w:r>
      <w:r>
        <w:t xml:space="preserve"> </w:t>
      </w:r>
      <w:r>
        <w:rPr>
          <w:rStyle w:val="VerbatimChar"/>
        </w:rPr>
        <w:t xml:space="preserve">.kiro/</w:t>
      </w:r>
      <w:r>
        <w:t xml:space="preserve"> </w:t>
      </w:r>
      <w:r>
        <w:t xml:space="preserve">scaffolding: 8 mirrored skills, four steering files (</w:t>
      </w:r>
      <w:r>
        <w:rPr>
          <w:rStyle w:val="VerbatimChar"/>
        </w:rPr>
        <w:t xml:space="preserve">product.md</w:t>
      </w:r>
      <w:r>
        <w:t xml:space="preserve">,</w:t>
      </w:r>
      <w:r>
        <w:t xml:space="preserve"> </w:t>
      </w:r>
      <w:r>
        <w:rPr>
          <w:rStyle w:val="VerbatimChar"/>
        </w:rPr>
        <w:t xml:space="preserve">structure.md</w:t>
      </w:r>
      <w:r>
        <w:t xml:space="preserve">,</w:t>
      </w:r>
      <w:r>
        <w:t xml:space="preserve"> </w:t>
      </w:r>
      <w:r>
        <w:rPr>
          <w:rStyle w:val="VerbatimChar"/>
        </w:rPr>
        <w:t xml:space="preserve">tech.md</w:t>
      </w:r>
      <w:r>
        <w:t xml:space="preserve">,</w:t>
      </w:r>
      <w:r>
        <w:t xml:space="preserve"> </w:t>
      </w:r>
      <w:r>
        <w:rPr>
          <w:rStyle w:val="VerbatimChar"/>
        </w:rPr>
        <w:t xml:space="preserve">project.md</w:t>
      </w:r>
      <w:r>
        <w:t xml:space="preserve">), a</w:t>
      </w:r>
      <w:r>
        <w:t xml:space="preserve"> </w:t>
      </w:r>
      <w:r>
        <w:rPr>
          <w:rStyle w:val="VerbatimChar"/>
        </w:rPr>
        <w:t xml:space="preserve">kiro-migration-summary.md</w:t>
      </w:r>
      <w:r>
        <w:t xml:space="preserve">, and a</w:t>
      </w:r>
      <w:r>
        <w:t xml:space="preserve"> </w:t>
      </w:r>
      <w:r>
        <w:rPr>
          <w:rStyle w:val="VerbatimChar"/>
        </w:rPr>
        <w:t xml:space="preserve">.kiro/agents/ao-dev.json</w:t>
      </w:r>
      <w:r>
        <w:t xml:space="preserve"> </w:t>
      </w:r>
      <w:r>
        <w:t xml:space="preserve">custom agent. The Kiro adapter is half-paved.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Per-run credentials.</w:t>
      </w:r>
      <w:r>
        <w:t xml:space="preserve"> </w:t>
      </w:r>
      <w:r>
        <w:t xml:space="preserve">Make account/creds a</w:t>
      </w:r>
      <w:r>
        <w:t xml:space="preserve"> </w:t>
      </w:r>
      <w:r>
        <w:rPr>
          <w:b/>
          <w:bCs/>
        </w:rPr>
        <w:t xml:space="preserve">per-run config</w:t>
      </w:r>
      <w:r>
        <w:t xml:space="preserve"> </w:t>
      </w:r>
      <w:r>
        <w:t xml:space="preserve">(not hardcoded) so the same runner can target your personal license, a demo account, or a client’s account per engagement (matters for ToS — §8).</w:t>
      </w:r>
    </w:p>
    <w:p>
      <w:r>
        <w:pict>
          <v:rect style="width:0;height:1.5pt" o:hralign="center" o:hrstd="t" o:hr="t"/>
        </w:pict>
      </w:r>
    </w:p>
    <w:bookmarkEnd w:id="10"/>
    <w:bookmarkStart w:id="14" w:name="Xbe21c2c683e22d3449cd7be02c60c63936d2f57"/>
    <w:p>
      <w:pPr>
        <w:pStyle w:val="Heading2"/>
      </w:pPr>
      <w:r>
        <w:t xml:space="preserve">3. Claude Code vs Kiro CLI — feasibility first</w:t>
      </w:r>
    </w:p>
    <w:bookmarkStart w:id="11" w:name="the-make-or-break-facts-about-kiro"/>
    <w:p>
      <w:pPr>
        <w:pStyle w:val="Heading3"/>
      </w:pPr>
      <w:r>
        <w:t xml:space="preserve">3.1 The make-or-break facts about Kiro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b/>
          <w:bCs/>
        </w:rPr>
        <w:t xml:space="preserve">kiro-cli</w:t>
      </w:r>
      <w:r>
        <w:rPr>
          <w:b/>
          <w:bCs/>
        </w:rPr>
        <w:t xml:space="preserve"> </w:t>
      </w:r>
      <w:r>
        <w:rPr>
          <w:b/>
          <w:bCs/>
        </w:rPr>
        <w:t xml:space="preserve">headless mode is real and shipping</w:t>
      </w:r>
      <w:r>
        <w:t xml:space="preserve"> </w:t>
      </w:r>
      <w:r>
        <w:t xml:space="preserve">(CLI 2.0, April 2026):</w:t>
      </w:r>
      <w:r>
        <w:t xml:space="preserve"> </w:t>
      </w:r>
      <w:r>
        <w:rPr>
          <w:rStyle w:val="VerbatimChar"/>
        </w:rPr>
        <w:t xml:space="preserve">kiro-cli chat --no-interactive "&lt;prompt&gt;" --trust-tools=read,grep</w:t>
      </w:r>
      <w:r>
        <w:t xml:space="preserve">, auth via</w:t>
      </w:r>
      <w:r>
        <w:t xml:space="preserve"> </w:t>
      </w:r>
      <w:r>
        <w:rPr>
          <w:rStyle w:val="VerbatimChar"/>
        </w:rPr>
        <w:t xml:space="preserve">KIRO_API_KEY</w:t>
      </w:r>
      <w:r>
        <w:t xml:space="preserve"> </w:t>
      </w:r>
      <w:r>
        <w:t xml:space="preserve">(CI-friendly, no browser; paid tiers only). Pipe-friendly (</w:t>
      </w:r>
      <w:r>
        <w:rPr>
          <w:rStyle w:val="VerbatimChar"/>
        </w:rPr>
        <w:t xml:space="preserve">git diff | kiro-cli chat --no-interactive "..."</w:t>
      </w:r>
      <w:r>
        <w:t xml:space="preserve">). Nearly identical to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Use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kiro-cli</w:t>
      </w:r>
      <w:r>
        <w:rPr>
          <w:b/>
          <w:bCs/>
        </w:rPr>
        <w:t xml:space="preserve">, not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q</w:t>
      </w:r>
      <w:r>
        <w:rPr>
          <w:b/>
          <w:bCs/>
        </w:rPr>
        <w:t xml:space="preserve">, not</w:t>
      </w:r>
      <w:r>
        <w:rPr>
          <w:b/>
          <w:bCs/>
        </w:rPr>
        <w:t xml:space="preserve"> </w:t>
      </w:r>
      <w:r>
        <w:rPr>
          <w:b/>
          <w:bCs/>
        </w:rPr>
        <w:t xml:space="preserve">“Kiro tasks”</w:t>
      </w:r>
      <w:r>
        <w:rPr>
          <w:b/>
          <w:bCs/>
        </w:rPr>
        <w:t xml:space="preserve">:</w:t>
      </w:r>
    </w:p>
    <w:p>
      <w:pPr>
        <w:pStyle w:val="Compact"/>
        <w:numPr>
          <w:ilvl w:val="1"/>
          <w:numId w:val="1003"/>
        </w:numPr>
      </w:pPr>
      <w:r>
        <w:t xml:space="preserve">The</w:t>
      </w:r>
      <w:r>
        <w:t xml:space="preserve"> </w:t>
      </w:r>
      <w:r>
        <w:rPr>
          <w:b/>
          <w:bCs/>
        </w:rPr>
        <w:t xml:space="preserve">Amazon Q Developer CLI is deprecated</w:t>
      </w:r>
      <w:r>
        <w:t xml:space="preserve"> </w:t>
      </w:r>
      <w:r>
        <w:t xml:space="preserve">— its repo is now security-fixes-only and</w:t>
      </w:r>
      <w:r>
        <w:t xml:space="preserve"> </w:t>
      </w:r>
      <w:r>
        <w:rPr>
          <w:i/>
          <w:iCs/>
        </w:rPr>
        <w:t xml:space="preserve">became</w:t>
      </w:r>
      <w:r>
        <w:t xml:space="preserve"> </w:t>
      </w:r>
      <w:r>
        <w:t xml:space="preserve">Kiro CLI (closed-source, AWS IP License). New Q signups blocked</w:t>
      </w:r>
      <w:r>
        <w:t xml:space="preserve"> </w:t>
      </w:r>
      <w:r>
        <w:rPr>
          <w:b/>
          <w:bCs/>
        </w:rPr>
        <w:t xml:space="preserve">2026-05-15</w:t>
      </w:r>
      <w:r>
        <w:t xml:space="preserve">; EoS</w:t>
      </w:r>
      <w:r>
        <w:t xml:space="preserve"> </w:t>
      </w:r>
      <w:r>
        <w:rPr>
          <w:b/>
          <w:bCs/>
        </w:rPr>
        <w:t xml:space="preserve">2027-04-30</w:t>
      </w:r>
      <w:r>
        <w:t xml:space="preserve">. So</w:t>
      </w:r>
      <w:r>
        <w:t xml:space="preserve"> </w:t>
      </w:r>
      <w:r>
        <w:rPr>
          <w:rStyle w:val="VerbatimChar"/>
        </w:rPr>
        <w:t xml:space="preserve">q</w:t>
      </w:r>
      <w:r>
        <w:t xml:space="preserve"> </w:t>
      </w:r>
      <w:r>
        <w:t xml:space="preserve">is a dead end;</w:t>
      </w:r>
      <w:r>
        <w:t xml:space="preserve"> </w:t>
      </w:r>
      <w:r>
        <w:rPr>
          <w:rStyle w:val="VerbatimChar"/>
        </w:rPr>
        <w:t xml:space="preserve">kiro-cli</w:t>
      </w:r>
      <w:r>
        <w:t xml:space="preserve"> </w:t>
      </w:r>
      <w:r>
        <w:t xml:space="preserve">is the living successor.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Kiro’s spec/</w:t>
      </w:r>
      <w:r>
        <w:rPr>
          <w:rStyle w:val="VerbatimChar"/>
          <w:b/>
          <w:bCs/>
        </w:rPr>
        <w:t xml:space="preserve">tasks.md</w:t>
      </w:r>
      <w:r>
        <w:rPr>
          <w:b/>
          <w:bCs/>
        </w:rPr>
        <w:t xml:space="preserve"> </w:t>
      </w:r>
      <w:r>
        <w:rPr>
          <w:b/>
          <w:bCs/>
        </w:rPr>
        <w:t xml:space="preserve">“waves”</w:t>
      </w:r>
      <w:r>
        <w:rPr>
          <w:b/>
          <w:bCs/>
        </w:rPr>
        <w:t xml:space="preserve"> </w:t>
      </w:r>
      <w:r>
        <w:rPr>
          <w:b/>
          <w:bCs/>
        </w:rPr>
        <w:t xml:space="preserve">DAG engine is GUI-only</w:t>
      </w:r>
      <w:r>
        <w:t xml:space="preserve"> </w:t>
      </w:r>
      <w:r>
        <w:t xml:space="preserve">— there is no</w:t>
      </w:r>
      <w:r>
        <w:t xml:space="preserve"> </w:t>
      </w:r>
      <w:r>
        <w:rPr>
          <w:rStyle w:val="VerbatimChar"/>
        </w:rPr>
        <w:t xml:space="preserve">kiro-cli spec run</w:t>
      </w:r>
      <w:r>
        <w:t xml:space="preserve">. Headless = a single agent turn. The one genuinely DAG-shaped Kiro primitive is not scriptable, so you build the DAG yourself either way (same as Claude Code).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Structured output is the weak spot.</w:t>
      </w:r>
      <w:r>
        <w:t xml:space="preserve"> </w:t>
      </w:r>
      <w:r>
        <w:t xml:space="preserve">Headless</w:t>
      </w:r>
      <w:r>
        <w:t xml:space="preserve"> </w:t>
      </w:r>
      <w:r>
        <w:rPr>
          <w:rStyle w:val="VerbatimChar"/>
        </w:rPr>
        <w:t xml:space="preserve">kiro-cli chat</w:t>
      </w:r>
      <w:r>
        <w:t xml:space="preserve"> </w:t>
      </w:r>
      <w:r>
        <w:t xml:space="preserve">emits</w:t>
      </w:r>
      <w:r>
        <w:t xml:space="preserve"> </w:t>
      </w:r>
      <w:r>
        <w:rPr>
          <w:b/>
          <w:bCs/>
        </w:rPr>
        <w:t xml:space="preserve">plain-text stdout + exit codes</w:t>
      </w:r>
      <w:r>
        <w:t xml:space="preserve"> </w:t>
      </w:r>
      <w:r>
        <w:t xml:space="preserve">— no</w:t>
      </w:r>
      <w:r>
        <w:t xml:space="preserve"> </w:t>
      </w:r>
      <w:r>
        <w:rPr>
          <w:rStyle w:val="VerbatimChar"/>
        </w:rPr>
        <w:t xml:space="preserve">--output-format stream-json</w:t>
      </w:r>
      <w:r>
        <w:t xml:space="preserve"> </w:t>
      </w:r>
      <w:r>
        <w:t xml:space="preserve">equivalent for the agentic turn. This directly weakens the run-archive/eval capture, which is the part of AO the operator values most.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Hooks are a strong fit for security gates.</w:t>
      </w:r>
      <w:r>
        <w:t xml:space="preserve"> </w:t>
      </w:r>
      <w:r>
        <w:rPr>
          <w:rStyle w:val="VerbatimChar"/>
        </w:rPr>
        <w:t xml:space="preserve">preToolUse</w:t>
      </w:r>
      <w:r>
        <w:t xml:space="preserve"> </w:t>
      </w:r>
      <w:r>
        <w:t xml:space="preserve">(can</w:t>
      </w:r>
      <w:r>
        <w:t xml:space="preserve"> </w:t>
      </w:r>
      <w:r>
        <w:rPr>
          <w:b/>
          <w:bCs/>
        </w:rPr>
        <w:t xml:space="preserve">block</w:t>
      </w:r>
      <w:r>
        <w:t xml:space="preserve"> </w:t>
      </w:r>
      <w:r>
        <w:t xml:space="preserve">via exit code 2),</w:t>
      </w:r>
      <w:r>
        <w:t xml:space="preserve"> </w:t>
      </w:r>
      <w:r>
        <w:rPr>
          <w:rStyle w:val="VerbatimChar"/>
        </w:rPr>
        <w:t xml:space="preserve">postToolUse</w:t>
      </w:r>
      <w:r>
        <w:t xml:space="preserve"> </w:t>
      </w:r>
      <w:r>
        <w:t xml:space="preserve">(scan-after), with tool matchers; custom agents (</w:t>
      </w:r>
      <w:r>
        <w:rPr>
          <w:rStyle w:val="VerbatimChar"/>
        </w:rPr>
        <w:t xml:space="preserve">.kiro/agents/&lt;name&gt;.json</w:t>
      </w:r>
      <w:r>
        <w:t xml:space="preserve">) give per-agent prompt + tool allowlist + model pin; MCP fully supported.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No AWS account required.</w:t>
      </w:r>
      <w:r>
        <w:t xml:space="preserve"> </w:t>
      </w:r>
      <w:r>
        <w:t xml:space="preserve">Kiro signs in via AWS Builder ID (free), GitHub, or Google — standalone, no AWS account. It</w:t>
      </w:r>
      <w:r>
        <w:t xml:space="preserve"> </w:t>
      </w:r>
      <w:r>
        <w:rPr>
          <w:b/>
          <w:bCs/>
        </w:rPr>
        <w:t xml:space="preserve">survives the AWS exit as a consumer product</w:t>
      </w:r>
      <w:r>
        <w:t xml:space="preserve"> </w:t>
      </w:r>
      <w:r>
        <w:t xml:space="preserve">and does not re-introduce Bedrock/SigV4/IAM coupling.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But it’s still Amazon’s binary, on Amazon’s cadence.</w:t>
      </w:r>
      <w:r>
        <w:t xml:space="preserve"> </w:t>
      </w:r>
      <w:r>
        <w:t xml:space="preserve">The agent loop runs inside a closed-source vendor tool; metering is</w:t>
      </w:r>
      <w:r>
        <w:t xml:space="preserve"> </w:t>
      </w:r>
      <w:r>
        <w:rPr>
          <w:b/>
          <w:bCs/>
        </w:rPr>
        <w:t xml:space="preserve">Kiro-side credits you don’t control</w:t>
      </w:r>
      <w:r>
        <w:t xml:space="preserve">; managed inference means</w:t>
      </w:r>
      <w:r>
        <w:t xml:space="preserve"> </w:t>
      </w:r>
      <w:r>
        <w:rPr>
          <w:b/>
          <w:bCs/>
        </w:rPr>
        <w:t xml:space="preserve">no BYO-Bedrock, no region pins, no caching lever</w:t>
      </w:r>
      <w:r>
        <w:t xml:space="preserve">; on individual tiers</w:t>
      </w:r>
      <w:r>
        <w:t xml:space="preserve"> </w:t>
      </w:r>
      <w:r>
        <w:rPr>
          <w:b/>
          <w:bCs/>
        </w:rPr>
        <w:t xml:space="preserve">content may be used for training unless you opt out</w:t>
      </w:r>
      <w:r>
        <w:t xml:space="preserve"> </w:t>
      </w:r>
      <w:r>
        <w:t xml:space="preserve">(enterprise tiers are not trained on).</w:t>
      </w:r>
    </w:p>
    <w:bookmarkEnd w:id="11"/>
    <w:bookmarkStart w:id="12" w:name="Xdd1780c8c676a5e8c95ad356a78079e10c9ebe8"/>
    <w:p>
      <w:pPr>
        <w:pStyle w:val="Heading3"/>
      </w:pPr>
      <w:r>
        <w:t xml:space="preserve">3.2 Comparison (ranked by what matters to the operator)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Dimension</w:t>
            </w:r>
          </w:p>
        </w:tc>
        <w:tc>
          <w:tcPr/>
          <w:p>
            <w:pPr>
              <w:pStyle w:val="Compact"/>
            </w:pPr>
            <w:r>
              <w:t xml:space="preserve">Kiro CLI</w:t>
            </w:r>
          </w:p>
        </w:tc>
        <w:tc>
          <w:tcPr/>
          <w:p>
            <w:pPr>
              <w:pStyle w:val="Compact"/>
            </w:pPr>
            <w:r>
              <w:t xml:space="preserve">Claude Code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Structured capture for archive/evals</w:t>
            </w:r>
          </w:p>
        </w:tc>
        <w:tc>
          <w:tcPr/>
          <w:p>
            <w:pPr>
              <w:pStyle w:val="Compact"/>
            </w:pPr>
            <w:r>
              <w:t xml:space="preserve">text + exit codes (weak)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stream-json</w:t>
            </w:r>
            <w:r>
              <w:t xml:space="preserve"> </w:t>
            </w:r>
            <w:r>
              <w:t xml:space="preserve">(clean)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Own the agent loop</w:t>
            </w:r>
          </w:p>
        </w:tc>
        <w:tc>
          <w:tcPr/>
          <w:p>
            <w:pPr>
              <w:pStyle w:val="Compact"/>
            </w:pPr>
            <w:r>
              <w:t xml:space="preserve">no — inside vendor binary</w:t>
            </w:r>
          </w:p>
        </w:tc>
        <w:tc>
          <w:tcPr/>
          <w:p>
            <w:pPr>
              <w:pStyle w:val="Compact"/>
            </w:pPr>
            <w:r>
              <w:t xml:space="preserve">yes (Agent SDK)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Clean break from Amazon</w:t>
            </w:r>
          </w:p>
        </w:tc>
        <w:tc>
          <w:tcPr/>
          <w:p>
            <w:pPr>
              <w:pStyle w:val="Compact"/>
            </w:pPr>
            <w:r>
              <w:t xml:space="preserve">partial (Amazon product)</w:t>
            </w:r>
          </w:p>
        </w:tc>
        <w:tc>
          <w:tcPr/>
          <w:p>
            <w:pPr>
              <w:pStyle w:val="Compact"/>
            </w:pPr>
            <w:r>
              <w:t xml:space="preserve">full (non-Amazon)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Post-step security gate</w:t>
            </w:r>
          </w:p>
        </w:tc>
        <w:tc>
          <w:tcPr/>
          <w:p>
            <w:pPr>
              <w:pStyle w:val="Compact"/>
            </w:pPr>
            <w:r>
              <w:t xml:space="preserve">hooks;</w:t>
            </w:r>
            <w:r>
              <w:t xml:space="preserve"> </w:t>
            </w:r>
            <w:r>
              <w:rPr>
                <w:rStyle w:val="VerbatimChar"/>
              </w:rPr>
              <w:t xml:space="preserve">preToolUse</w:t>
            </w:r>
            <w:r>
              <w:t xml:space="preserve"> </w:t>
            </w:r>
            <w:r>
              <w:t xml:space="preserve">blocks (exit 2) — strong</w:t>
            </w:r>
          </w:p>
        </w:tc>
        <w:tc>
          <w:tcPr/>
          <w:p>
            <w:pPr>
              <w:pStyle w:val="Compact"/>
            </w:pPr>
            <w:r>
              <w:t xml:space="preserve">hooks — strong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Per-node tools</w:t>
            </w:r>
          </w:p>
        </w:tc>
        <w:tc>
          <w:tcPr/>
          <w:p>
            <w:pPr>
              <w:pStyle w:val="Compact"/>
            </w:pPr>
            <w:r>
              <w:t xml:space="preserve">custom-agent JSON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--allowedTools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Native scriptable DAG</w:t>
            </w:r>
          </w:p>
        </w:tc>
        <w:tc>
          <w:tcPr/>
          <w:p>
            <w:pPr>
              <w:pStyle w:val="Compact"/>
            </w:pPr>
            <w:r>
              <w:t xml:space="preserve">none (specs are GUI-only)</w:t>
            </w:r>
          </w:p>
        </w:tc>
        <w:tc>
          <w:tcPr/>
          <w:p>
            <w:pPr>
              <w:pStyle w:val="Compact"/>
            </w:pPr>
            <w:r>
              <w:t xml:space="preserve">Dynamic Workflows (CLI/headless)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Models</w:t>
            </w:r>
          </w:p>
        </w:tc>
        <w:tc>
          <w:tcPr/>
          <w:p>
            <w:pPr>
              <w:pStyle w:val="Compact"/>
            </w:pPr>
            <w:r>
              <w:t xml:space="preserve">Claude + open-weight, selectable, managed</w:t>
            </w:r>
          </w:p>
        </w:tc>
        <w:tc>
          <w:tcPr/>
          <w:p>
            <w:pPr>
              <w:pStyle w:val="Compact"/>
            </w:pPr>
            <w:r>
              <w:t xml:space="preserve">Claude, via API / subscription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No-AWS-account entry</w:t>
            </w:r>
          </w:p>
        </w:tc>
        <w:tc>
          <w:tcPr/>
          <w:p>
            <w:pPr>
              <w:pStyle w:val="Compact"/>
            </w:pPr>
            <w:r>
              <w:t xml:space="preserve">yes (Builder ID)</w:t>
            </w:r>
          </w:p>
        </w:tc>
        <w:tc>
          <w:tcPr/>
          <w:p>
            <w:pPr>
              <w:pStyle w:val="Compact"/>
            </w:pPr>
            <w:r>
              <w:t xml:space="preserve">yes (API key / sub)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Funding</w:t>
            </w:r>
          </w:p>
        </w:tc>
        <w:tc>
          <w:tcPr/>
          <w:p>
            <w:pPr>
              <w:pStyle w:val="Compact"/>
            </w:pPr>
            <w:r>
              <w:t xml:space="preserve">Kiro credits (Pro $20 / Power $200/mo), Kiro-metered</w:t>
            </w:r>
          </w:p>
        </w:tc>
        <w:tc>
          <w:tcPr/>
          <w:p>
            <w:pPr>
              <w:pStyle w:val="Compact"/>
            </w:pPr>
            <w:r>
              <w:t xml:space="preserve">API metered</w:t>
            </w:r>
            <w:r>
              <w:t xml:space="preserve"> </w:t>
            </w:r>
            <w:r>
              <w:rPr>
                <w:b/>
                <w:bCs/>
              </w:rPr>
              <w:t xml:space="preserve">or</w:t>
            </w:r>
            <w:r>
              <w:t xml:space="preserve"> </w:t>
            </w:r>
            <w:r>
              <w:t xml:space="preserve">Max sub flat; you control caching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Caching control</w:t>
            </w:r>
          </w:p>
        </w:tc>
        <w:tc>
          <w:tcPr/>
          <w:p>
            <w:pPr>
              <w:pStyle w:val="Compact"/>
            </w:pPr>
            <w:r>
              <w:t xml:space="preserve">no (managed)</w:t>
            </w:r>
          </w:p>
        </w:tc>
        <w:tc>
          <w:tcPr/>
          <w:p>
            <w:pPr>
              <w:pStyle w:val="Compact"/>
            </w:pPr>
            <w:r>
              <w:t xml:space="preserve">yes (API prompt caching)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Privacy (individual tier)</w:t>
            </w:r>
          </w:p>
        </w:tc>
        <w:tc>
          <w:tcPr/>
          <w:p>
            <w:pPr>
              <w:pStyle w:val="Compact"/>
            </w:pPr>
            <w:r>
              <w:t xml:space="preserve">content may train models (opt-out)</w:t>
            </w:r>
          </w:p>
        </w:tc>
        <w:tc>
          <w:tcPr/>
          <w:p>
            <w:pPr>
              <w:pStyle w:val="Compact"/>
            </w:pPr>
            <w:r>
              <w:t xml:space="preserve">API: not trained 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Already scaffolded in AO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.kiro/</w:t>
            </w:r>
            <w:r>
              <w:t xml:space="preserve"> </w:t>
            </w:r>
            <w:r>
              <w:t xml:space="preserve">present today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.claude/</w:t>
            </w:r>
            <w:r>
              <w:t xml:space="preserve"> </w:t>
            </w:r>
            <w:r>
              <w:t xml:space="preserve">present today</w:t>
            </w:r>
          </w:p>
        </w:tc>
      </w:tr>
    </w:tbl>
    <w:p>
      <w:pPr>
        <w:pStyle w:val="BodyText"/>
      </w:pPr>
      <w:r>
        <w:t xml:space="preserve">The top three rows decide it, and all lean Claude Code — because they are precisely the pivot’s reasons-for-being.</w:t>
      </w:r>
      <w:r>
        <w:t xml:space="preserve"> </w:t>
      </w:r>
      <w:r>
        <w:rPr>
          <w:b/>
          <w:bCs/>
        </w:rPr>
        <w:t xml:space="preserve">Default executor = Claude Code; Kiro = first-class swappable backend</w:t>
      </w:r>
      <w:r>
        <w:t xml:space="preserve"> </w:t>
      </w:r>
      <w:r>
        <w:t xml:space="preserve">(not merely a hedge — see §5).</w:t>
      </w:r>
    </w:p>
    <w:bookmarkEnd w:id="12"/>
    <w:bookmarkStart w:id="13" w:name="Xec3134350d90edd72a5111613f7899a80d156e1"/>
    <w:p>
      <w:pPr>
        <w:pStyle w:val="Heading3"/>
      </w:pPr>
      <w:r>
        <w:t xml:space="preserve">3.5 Two more backends: Codex (OpenAI) and Antigravity (Google)</w:t>
      </w:r>
    </w:p>
    <w:p>
      <w:pPr>
        <w:pStyle w:val="FirstParagraph"/>
      </w:pPr>
      <w:r>
        <w:t xml:space="preserve">The runner-agnostic adapter (one</w:t>
      </w:r>
      <w:r>
        <w:t xml:space="preserve"> </w:t>
      </w:r>
      <w:r>
        <w:rPr>
          <w:rStyle w:val="VerbatimChar"/>
        </w:rPr>
        <w:t xml:space="preserve">NodeExecutor</w:t>
      </w:r>
      <w:r>
        <w:t xml:space="preserve"> </w:t>
      </w:r>
      <w:r>
        <w:t xml:space="preserve">per backend — see the Cadora repo’s</w:t>
      </w:r>
      <w:r>
        <w:t xml:space="preserve"> </w:t>
      </w:r>
      <w:r>
        <w:rPr>
          <w:rStyle w:val="VerbatimChar"/>
        </w:rPr>
        <w:t xml:space="preserve">cadora/executors/</w:t>
      </w:r>
      <w:r>
        <w:t xml:space="preserve">) makes adding a coding agent a single class. Two more are worth wiring, because they fit the same</w:t>
      </w:r>
      <w:r>
        <w:t xml:space="preserve"> </w:t>
      </w:r>
      <w:r>
        <w:t xml:space="preserve">“headless CLI + per-task prompt + tools + capture”</w:t>
      </w:r>
      <w:r>
        <w:t xml:space="preserve"> </w:t>
      </w:r>
      <w:r>
        <w:t xml:space="preserve">shape.</w:t>
      </w:r>
    </w:p>
    <w:p>
      <w:pPr>
        <w:pStyle w:val="BodyText"/>
      </w:pPr>
      <w:r>
        <w:rPr>
          <w:b/>
          <w:bCs/>
        </w:rPr>
        <w:t xml:space="preserve">Codex CLI (OpenAI) — a strong, structured backend.</w:t>
      </w:r>
      <w:r>
        <w:t xml:space="preserve"> </w:t>
      </w:r>
      <w:r>
        <w:t xml:space="preserve">Headless via</w:t>
      </w:r>
      <w:r>
        <w:t xml:space="preserve"> </w:t>
      </w:r>
      <w:r>
        <w:rPr>
          <w:rStyle w:val="VerbatimChar"/>
        </w:rPr>
        <w:t xml:space="preserve">codex exec --json "&lt;prompt&gt;"</w:t>
      </w:r>
      <w:r>
        <w:t xml:space="preserve">, which emits a</w:t>
      </w:r>
      <w:r>
        <w:t xml:space="preserve"> </w:t>
      </w:r>
      <w:r>
        <w:rPr>
          <w:b/>
          <w:bCs/>
        </w:rPr>
        <w:t xml:space="preserve">JSONL event stream</w:t>
      </w:r>
      <w:r>
        <w:t xml:space="preserve"> </w:t>
      </w:r>
      <w:r>
        <w:t xml:space="preserve">(</w:t>
      </w:r>
      <w:r>
        <w:rPr>
          <w:rStyle w:val="VerbatimChar"/>
        </w:rPr>
        <w:t xml:space="preserve">turn.completed</w:t>
      </w:r>
      <w:r>
        <w:t xml:space="preserve"> </w:t>
      </w:r>
      <w:r>
        <w:t xml:space="preserve">carries token usage), so capture is as clean as Claude Code’s</w:t>
      </w:r>
      <w:r>
        <w:t xml:space="preserve"> </w:t>
      </w:r>
      <w:r>
        <w:rPr>
          <w:rStyle w:val="VerbatimChar"/>
        </w:rPr>
        <w:t xml:space="preserve">stream-json</w:t>
      </w:r>
      <w:r>
        <w:t xml:space="preserve">. Funding mirrors Claude Code: a</w:t>
      </w:r>
      <w:r>
        <w:t xml:space="preserve"> </w:t>
      </w:r>
      <w:r>
        <w:rPr>
          <w:b/>
          <w:bCs/>
        </w:rPr>
        <w:t xml:space="preserve">ChatGPT Plus/Pro subscription</w:t>
      </w:r>
      <w:r>
        <w:t xml:space="preserve"> </w:t>
      </w:r>
      <w:r>
        <w:t xml:space="preserve">(shared 5-hour pool)</w:t>
      </w:r>
      <w:r>
        <w:t xml:space="preserve"> </w:t>
      </w:r>
      <w:r>
        <w:rPr>
          <w:b/>
          <w:bCs/>
        </w:rPr>
        <w:t xml:space="preserve">or</w:t>
      </w:r>
      <w:r>
        <w:t xml:space="preserve"> </w:t>
      </w:r>
      <w:r>
        <w:t xml:space="preserve">an API key (</w:t>
      </w:r>
      <w:r>
        <w:rPr>
          <w:rStyle w:val="VerbatimChar"/>
        </w:rPr>
        <w:t xml:space="preserve">CODEX_API_KEY</w:t>
      </w:r>
      <w:r>
        <w:t xml:space="preserve">,</w:t>
      </w:r>
      <w:r>
        <w:t xml:space="preserve"> </w:t>
      </w:r>
      <w:r>
        <w:rPr>
          <w:rStyle w:val="VerbatimChar"/>
        </w:rPr>
        <w:t xml:space="preserve">exec</w:t>
      </w:r>
      <w:r>
        <w:t xml:space="preserve">-only) for metered/CI runs — use the key for unattended orchestration. Models</w:t>
      </w:r>
      <w:r>
        <w:t xml:space="preserve"> </w:t>
      </w:r>
      <w:r>
        <w:rPr>
          <w:rStyle w:val="VerbatimChar"/>
        </w:rPr>
        <w:t xml:space="preserve">gpt-5.x-codex</w:t>
      </w:r>
      <w:r>
        <w:t xml:space="preserve"> </w:t>
      </w:r>
      <w:r>
        <w:t xml:space="preserve">(pin explicitly; ~monthly cadence). MCP client; native lifecycle</w:t>
      </w:r>
      <w:r>
        <w:t xml:space="preserve"> </w:t>
      </w:r>
      <w:r>
        <w:rPr>
          <w:b/>
          <w:bCs/>
        </w:rPr>
        <w:t xml:space="preserve">hooks</w:t>
      </w:r>
      <w:r>
        <w:t xml:space="preserve"> </w:t>
      </w:r>
      <w:r>
        <w:t xml:space="preserve">(a</w:t>
      </w:r>
      <w:r>
        <w:t xml:space="preserve"> </w:t>
      </w:r>
      <w:r>
        <w:rPr>
          <w:rStyle w:val="VerbatimChar"/>
        </w:rPr>
        <w:t xml:space="preserve">PostToolUse</w:t>
      </w:r>
      <w:r>
        <w:t xml:space="preserve"> </w:t>
      </w:r>
      <w:r>
        <w:t xml:space="preserve">hook on</w:t>
      </w:r>
      <w:r>
        <w:t xml:space="preserve"> </w:t>
      </w:r>
      <w:r>
        <w:rPr>
          <w:rStyle w:val="VerbatimChar"/>
        </w:rPr>
        <w:t xml:space="preserve">apply_patch</w:t>
      </w:r>
      <w:r>
        <w:t xml:space="preserve">/</w:t>
      </w:r>
      <w:r>
        <w:rPr>
          <w:rStyle w:val="VerbatimChar"/>
        </w:rPr>
        <w:t xml:space="preserve">Edit</w:t>
      </w:r>
      <w:r>
        <w:t xml:space="preserve"> </w:t>
      </w:r>
      <w:r>
        <w:t xml:space="preserve">for a post-edit scan — coverage is imperfect, so enforce the gate in Cadora too).</w:t>
      </w:r>
      <w:r>
        <w:t xml:space="preserve"> </w:t>
      </w:r>
      <w:r>
        <w:rPr>
          <w:b/>
          <w:bCs/>
        </w:rPr>
        <w:t xml:space="preserve">One key difference:</w:t>
      </w:r>
      <w:r>
        <w:t xml:space="preserve"> </w:t>
      </w:r>
      <w:r>
        <w:t xml:space="preserve">Codex has</w:t>
      </w:r>
      <w:r>
        <w:t xml:space="preserve"> </w:t>
      </w:r>
      <w:r>
        <w:rPr>
          <w:b/>
          <w:bCs/>
        </w:rPr>
        <w:t xml:space="preserve">no per-tool allowlist</w:t>
      </w:r>
      <w:r>
        <w:t xml:space="preserve"> </w:t>
      </w:r>
      <w:r>
        <w:t xml:space="preserve">(no</w:t>
      </w:r>
      <w:r>
        <w:t xml:space="preserve"> </w:t>
      </w:r>
      <w:r>
        <w:rPr>
          <w:rStyle w:val="VerbatimChar"/>
        </w:rPr>
        <w:t xml:space="preserve">--allowedTools</w:t>
      </w:r>
      <w:r>
        <w:t xml:space="preserve">) — tool scope is set by</w:t>
      </w:r>
      <w:r>
        <w:t xml:space="preserve"> </w:t>
      </w:r>
      <w:r>
        <w:rPr>
          <w:rStyle w:val="VerbatimChar"/>
        </w:rPr>
        <w:t xml:space="preserve">--sandbox</w:t>
      </w:r>
      <w:r>
        <w:t xml:space="preserve"> </w:t>
      </w:r>
      <w:r>
        <w:t xml:space="preserve">(</w:t>
      </w:r>
      <w:r>
        <w:rPr>
          <w:rStyle w:val="VerbatimChar"/>
        </w:rPr>
        <w:t xml:space="preserve">read-only</w:t>
      </w:r>
      <w:r>
        <w:t xml:space="preserve">/</w:t>
      </w:r>
      <w:r>
        <w:rPr>
          <w:rStyle w:val="VerbatimChar"/>
        </w:rPr>
        <w:t xml:space="preserve">workspace-write</w:t>
      </w:r>
      <w:r>
        <w:t xml:space="preserve">/</w:t>
      </w:r>
      <w:r>
        <w:rPr>
          <w:rStyle w:val="VerbatimChar"/>
        </w:rPr>
        <w:t xml:space="preserve">danger-full-access</w:t>
      </w:r>
      <w:r>
        <w:t xml:space="preserve">) +</w:t>
      </w:r>
      <w:r>
        <w:t xml:space="preserve"> </w:t>
      </w:r>
      <w:r>
        <w:rPr>
          <w:rStyle w:val="VerbatimChar"/>
        </w:rPr>
        <w:t xml:space="preserve">--ask-for-approval</w:t>
      </w:r>
      <w:r>
        <w:t xml:space="preserve">, so a node’s</w:t>
      </w:r>
      <w:r>
        <w:t xml:space="preserve"> </w:t>
      </w:r>
      <w:r>
        <w:rPr>
          <w:rStyle w:val="VerbatimChar"/>
        </w:rPr>
        <w:t xml:space="preserve">tools</w:t>
      </w:r>
      <w:r>
        <w:t xml:space="preserve"> </w:t>
      </w:r>
      <w:r>
        <w:t xml:space="preserve">list is</w:t>
      </w:r>
      <w:r>
        <w:t xml:space="preserve"> </w:t>
      </w:r>
      <w:r>
        <w:rPr>
          <w:i/>
          <w:iCs/>
        </w:rPr>
        <w:t xml:space="preserve">advisory</w:t>
      </w:r>
      <w:r>
        <w:t xml:space="preserve"> </w:t>
      </w:r>
      <w:r>
        <w:t xml:space="preserve">on this backend. There’s also an official</w:t>
      </w:r>
      <w:r>
        <w:t xml:space="preserve"> </w:t>
      </w:r>
      <w:r>
        <w:rPr>
          <w:b/>
          <w:bCs/>
        </w:rPr>
        <w:t xml:space="preserve">Codex SDK</w:t>
      </w:r>
      <w:r>
        <w:t xml:space="preserve"> </w:t>
      </w:r>
      <w:r>
        <w:t xml:space="preserve">(TS</w:t>
      </w:r>
      <w:r>
        <w:t xml:space="preserve"> </w:t>
      </w:r>
      <w:r>
        <w:rPr>
          <w:rStyle w:val="VerbatimChar"/>
        </w:rPr>
        <w:t xml:space="preserve">@openai/codex-sdk</w:t>
      </w:r>
      <w:r>
        <w:t xml:space="preserve">, Python</w:t>
      </w:r>
      <w:r>
        <w:t xml:space="preserve"> </w:t>
      </w:r>
      <w:r>
        <w:rPr>
          <w:rStyle w:val="VerbatimChar"/>
        </w:rPr>
        <w:t xml:space="preserve">openai-codex</w:t>
      </w:r>
      <w:r>
        <w:t xml:space="preserve">) that wraps the CLI with typed thread/turn objects — a tighter integration than shelling out. Apache-2.0, GA Oct 2025.</w:t>
      </w:r>
    </w:p>
    <w:p>
      <w:pPr>
        <w:pStyle w:val="BodyText"/>
      </w:pPr>
      <w:r>
        <w:rPr>
          <w:b/>
          <w:bCs/>
        </w:rPr>
        <w:t xml:space="preserve">Antigravity CLI (Google) — viable but rough today; wire it experimental.</w:t>
      </w:r>
      <w:r>
        <w:t xml:space="preserve"> </w:t>
      </w:r>
      <w:r>
        <w:t xml:space="preserve">The Google landscape shifted on</w:t>
      </w:r>
      <w:r>
        <w:t xml:space="preserve"> </w:t>
      </w:r>
      <w:r>
        <w:rPr>
          <w:b/>
          <w:bCs/>
        </w:rPr>
        <w:t xml:space="preserve">2026-05-19</w:t>
      </w:r>
      <w:r>
        <w:t xml:space="preserve">: Google</w:t>
      </w:r>
      <w:r>
        <w:t xml:space="preserve"> </w:t>
      </w:r>
      <w:r>
        <w:rPr>
          <w:b/>
          <w:bCs/>
        </w:rPr>
        <w:t xml:space="preserve">discontinued the Gemini CLI and folded it into the Antigravity CLI (</w:t>
      </w:r>
      <w:r>
        <w:rPr>
          <w:rStyle w:val="VerbatimChar"/>
          <w:b/>
          <w:bCs/>
        </w:rPr>
        <w:t xml:space="preserve">agy</w:t>
      </w:r>
      <w:r>
        <w:rPr>
          <w:b/>
          <w:bCs/>
        </w:rPr>
        <w:t xml:space="preserve">)</w:t>
      </w:r>
      <w:r>
        <w:t xml:space="preserve">; the free/consumer</w:t>
      </w:r>
      <w:r>
        <w:t xml:space="preserve"> </w:t>
      </w:r>
      <w:r>
        <w:rPr>
          <w:b/>
          <w:bCs/>
        </w:rPr>
        <w:t xml:space="preserve">Gemini CLI hit EOL on 2026-06-18</w:t>
      </w:r>
      <w:r>
        <w:t xml:space="preserve"> </w:t>
      </w:r>
      <w:r>
        <w:t xml:space="preserve">— so target</w:t>
      </w:r>
      <w:r>
        <w:t xml:space="preserve"> </w:t>
      </w:r>
      <w:r>
        <w:rPr>
          <w:rStyle w:val="VerbatimChar"/>
        </w:rPr>
        <w:t xml:space="preserve">agy</w:t>
      </w:r>
      <w:r>
        <w:t xml:space="preserve">, not</w:t>
      </w:r>
      <w:r>
        <w:t xml:space="preserve"> </w:t>
      </w:r>
      <w:r>
        <w:rPr>
          <w:rStyle w:val="VerbatimChar"/>
        </w:rPr>
        <w:t xml:space="preserve">gemini</w:t>
      </w:r>
      <w:r>
        <w:t xml:space="preserve">. Headless via</w:t>
      </w:r>
      <w:r>
        <w:t xml:space="preserve"> </w:t>
      </w:r>
      <w:r>
        <w:rPr>
          <w:rStyle w:val="VerbatimChar"/>
        </w:rPr>
        <w:t xml:space="preserve">agy -p "&lt;prompt&gt;" --dangerously-skip-permissions</w:t>
      </w:r>
      <w:r>
        <w:t xml:space="preserve">. Multi-model (Gemini 3.1 Pro / 3.5 Flash,</w:t>
      </w:r>
      <w:r>
        <w:t xml:space="preserve"> </w:t>
      </w:r>
      <w:r>
        <w:rPr>
          <w:b/>
          <w:bCs/>
        </w:rPr>
        <w:t xml:space="preserve">plus</w:t>
      </w:r>
      <w:r>
        <w:t xml:space="preserve"> </w:t>
      </w:r>
      <w:r>
        <w:t xml:space="preserve">Claude Sonnet 4.6 / Opus 4.6 and gpt-oss-120b). Auth: Google sign-in with a</w:t>
      </w:r>
      <w:r>
        <w:t xml:space="preserve"> </w:t>
      </w:r>
      <w:r>
        <w:rPr>
          <w:b/>
          <w:bCs/>
        </w:rPr>
        <w:t xml:space="preserve">generous free tier</w:t>
      </w:r>
      <w:r>
        <w:t xml:space="preserve"> </w:t>
      </w:r>
      <w:r>
        <w:t xml:space="preserve">(incl. Gemini 3) or AI Pro/Ultra for higher limits — no Google Cloud account needed.</w:t>
      </w:r>
      <w:r>
        <w:t xml:space="preserve"> </w:t>
      </w:r>
      <w:r>
        <w:rPr>
          <w:b/>
          <w:bCs/>
        </w:rPr>
        <w:t xml:space="preserve">Two defects make it the weakest backend today:</w:t>
      </w:r>
      <w:r>
        <w:t xml:space="preserve"> </w:t>
      </w:r>
      <w:r>
        <w:t xml:space="preserve">(1)</w:t>
      </w:r>
      <w:r>
        <w:t xml:space="preserve"> </w:t>
      </w:r>
      <w:r>
        <w:rPr>
          <w:b/>
          <w:bCs/>
        </w:rPr>
        <w:t xml:space="preserve">no JSON output</w:t>
      </w:r>
      <w:r>
        <w:t xml:space="preserve"> </w:t>
      </w:r>
      <w:r>
        <w:t xml:space="preserve">(</w:t>
      </w:r>
      <w:r>
        <w:rPr>
          <w:rStyle w:val="VerbatimChar"/>
        </w:rPr>
        <w:t xml:space="preserve">--output-format</w:t>
      </w:r>
      <w:r>
        <w:t xml:space="preserve"> </w:t>
      </w:r>
      <w:r>
        <w:t xml:space="preserve">isn’t implemented on</w:t>
      </w:r>
      <w:r>
        <w:t xml:space="preserve"> </w:t>
      </w:r>
      <w:r>
        <w:rPr>
          <w:rStyle w:val="VerbatimChar"/>
        </w:rPr>
        <w:t xml:space="preserve">agy</w:t>
      </w:r>
      <w:r>
        <w:t xml:space="preserve">), and (2)</w:t>
      </w:r>
      <w:r>
        <w:t xml:space="preserve"> </w:t>
      </w:r>
      <w:r>
        <w:rPr>
          <w:rStyle w:val="VerbatimChar"/>
          <w:b/>
          <w:bCs/>
        </w:rPr>
        <w:t xml:space="preserve">agy -p</w:t>
      </w:r>
      <w:r>
        <w:rPr>
          <w:b/>
          <w:bCs/>
        </w:rPr>
        <w:t xml:space="preserve"> </w:t>
      </w:r>
      <w:r>
        <w:rPr>
          <w:b/>
          <w:bCs/>
        </w:rPr>
        <w:t xml:space="preserve">writes to the terminal, not stdout</w:t>
      </w:r>
      <w:r>
        <w:t xml:space="preserve">, so naive capture yields nothing — the working path is to parse</w:t>
      </w:r>
      <w:r>
        <w:t xml:space="preserve"> </w:t>
      </w:r>
      <w:r>
        <w:rPr>
          <w:rStyle w:val="VerbatimChar"/>
        </w:rPr>
        <w:t xml:space="preserve">agy</w:t>
      </w:r>
      <w:r>
        <w:t xml:space="preserve">’s own transcript JSONL (</w:t>
      </w:r>
      <w:r>
        <w:rPr>
          <w:rStyle w:val="VerbatimChar"/>
        </w:rPr>
        <w:t xml:space="preserve">~/.gemini/antigravity-cli/brain/&lt;id&gt;/.system_generated/logs/transcript.jsonl</w:t>
      </w:r>
      <w:r>
        <w:t xml:space="preserve">), as the community MCP bridges do. Its</w:t>
      </w:r>
      <w:r>
        <w:t xml:space="preserve"> </w:t>
      </w:r>
      <w:r>
        <w:rPr>
          <w:rStyle w:val="VerbatimChar"/>
        </w:rPr>
        <w:t xml:space="preserve">--sandbox</w:t>
      </w:r>
      <w:r>
        <w:t xml:space="preserve"> </w:t>
      </w:r>
      <w:r>
        <w:t xml:space="preserve">is also incomplete headless. The Antigravity</w:t>
      </w:r>
      <w:r>
        <w:t xml:space="preserve"> </w:t>
      </w:r>
      <w:r>
        <w:rPr>
          <w:b/>
          <w:bCs/>
        </w:rPr>
        <w:t xml:space="preserve">IDE/desktop app is GUI-only</w:t>
      </w:r>
      <w:r>
        <w:t xml:space="preserve">;</w:t>
      </w:r>
      <w:r>
        <w:t xml:space="preserve"> </w:t>
      </w:r>
      <w:r>
        <w:rPr>
          <w:rStyle w:val="VerbatimChar"/>
        </w:rPr>
        <w:t xml:space="preserve">agy</w:t>
      </w:r>
      <w:r>
        <w:t xml:space="preserve"> </w:t>
      </w:r>
      <w:r>
        <w:t xml:space="preserve">(or the Python</w:t>
      </w:r>
      <w:r>
        <w:t xml:space="preserve"> </w:t>
      </w:r>
      <w:r>
        <w:rPr>
          <w:rStyle w:val="VerbatimChar"/>
        </w:rPr>
        <w:t xml:space="preserve">google.antigravity</w:t>
      </w:r>
      <w:r>
        <w:t xml:space="preserve"> </w:t>
      </w:r>
      <w:r>
        <w:t xml:space="preserve">SDK) is the headless path. Treat it as experimental until Google fixes the gaps — Cadora ships</w:t>
      </w:r>
      <w:r>
        <w:t xml:space="preserve"> </w:t>
      </w:r>
      <w:r>
        <w:rPr>
          <w:rStyle w:val="VerbatimChar"/>
        </w:rPr>
        <w:t xml:space="preserve">AntigravityExecutor</w:t>
      </w:r>
      <w:r>
        <w:t xml:space="preserve"> </w:t>
      </w:r>
      <w:r>
        <w:t xml:space="preserve">flagged accordingly.</w:t>
      </w:r>
    </w:p>
    <w:p>
      <w:pPr>
        <w:pStyle w:val="BodyText"/>
      </w:pPr>
      <w:r>
        <w:rPr>
          <w:b/>
          <w:bCs/>
        </w:rPr>
        <w:t xml:space="preserve">Four-backend summary</w:t>
      </w:r>
      <w:r>
        <w:t xml:space="preserve"> </w:t>
      </w:r>
      <w:r>
        <w:t xml:space="preserve">(default → experimental):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Claude Code</w:t>
            </w:r>
          </w:p>
        </w:tc>
        <w:tc>
          <w:tcPr/>
          <w:p>
            <w:pPr>
              <w:pStyle w:val="Compact"/>
            </w:pPr>
            <w:r>
              <w:t xml:space="preserve">Codex</w:t>
            </w:r>
          </w:p>
        </w:tc>
        <w:tc>
          <w:tcPr/>
          <w:p>
            <w:pPr>
              <w:pStyle w:val="Compact"/>
            </w:pPr>
            <w:r>
              <w:t xml:space="preserve">Kiro</w:t>
            </w:r>
          </w:p>
        </w:tc>
        <w:tc>
          <w:tcPr/>
          <w:p>
            <w:pPr>
              <w:pStyle w:val="Compact"/>
            </w:pPr>
            <w:r>
              <w:t xml:space="preserve">Antigravity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Command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claude -p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codex exec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kiro-cli chat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agy -p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Structured output</w:t>
            </w:r>
          </w:p>
        </w:tc>
        <w:tc>
          <w:tcPr/>
          <w:p>
            <w:pPr>
              <w:pStyle w:val="Compact"/>
            </w:pPr>
            <w:r>
              <w:t xml:space="preserve">✅ stream-json</w:t>
            </w:r>
          </w:p>
        </w:tc>
        <w:tc>
          <w:tcPr/>
          <w:p>
            <w:pPr>
              <w:pStyle w:val="Compact"/>
            </w:pPr>
            <w:r>
              <w:t xml:space="preserve">✅ JSONL</w:t>
            </w:r>
          </w:p>
        </w:tc>
        <w:tc>
          <w:tcPr/>
          <w:p>
            <w:pPr>
              <w:pStyle w:val="Compact"/>
            </w:pPr>
            <w:r>
              <w:t xml:space="preserve">❌ text</w:t>
            </w:r>
          </w:p>
        </w:tc>
        <w:tc>
          <w:tcPr/>
          <w:p>
            <w:pPr>
              <w:pStyle w:val="Compact"/>
            </w:pPr>
            <w:r>
              <w:t xml:space="preserve">❌ text (broken stdout)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Per-node tool allowlist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Style w:val="VerbatimChar"/>
              </w:rPr>
              <w:t xml:space="preserve">--allowedTools</w:t>
            </w:r>
          </w:p>
        </w:tc>
        <w:tc>
          <w:tcPr/>
          <w:p>
            <w:pPr>
              <w:pStyle w:val="Compact"/>
            </w:pPr>
            <w:r>
              <w:t xml:space="preserve">⚠️ sandbox + approval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Style w:val="VerbatimChar"/>
              </w:rPr>
              <w:t xml:space="preserve">--trust-tools</w:t>
            </w:r>
          </w:p>
        </w:tc>
        <w:tc>
          <w:tcPr/>
          <w:p>
            <w:pPr>
              <w:pStyle w:val="Compact"/>
            </w:pPr>
            <w:r>
              <w:t xml:space="preserve">⚠️ permissions only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Post-step hook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  <w:tc>
          <w:tcPr/>
          <w:p>
            <w:pPr>
              <w:pStyle w:val="Compact"/>
            </w:pPr>
            <w:r>
              <w:t xml:space="preserve">✅ (partial)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Style w:val="VerbatimChar"/>
              </w:rPr>
              <w:t xml:space="preserve">preToolUse</w:t>
            </w:r>
            <w:r>
              <w:t xml:space="preserve"> </w:t>
            </w:r>
            <w:r>
              <w:t xml:space="preserve">blocks</w:t>
            </w:r>
          </w:p>
        </w:tc>
        <w:tc>
          <w:tcPr/>
          <w:p>
            <w:pPr>
              <w:pStyle w:val="Compact"/>
            </w:pPr>
            <w:r>
              <w:t xml:space="preserve">✅ (preserved)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Models</w:t>
            </w:r>
          </w:p>
        </w:tc>
        <w:tc>
          <w:tcPr/>
          <w:p>
            <w:pPr>
              <w:pStyle w:val="Compact"/>
            </w:pPr>
            <w:r>
              <w:t xml:space="preserve">Claude</w:t>
            </w:r>
          </w:p>
        </w:tc>
        <w:tc>
          <w:tcPr/>
          <w:p>
            <w:pPr>
              <w:pStyle w:val="Compact"/>
            </w:pPr>
            <w:r>
              <w:t xml:space="preserve">gpt-5.x-codex</w:t>
            </w:r>
          </w:p>
        </w:tc>
        <w:tc>
          <w:tcPr/>
          <w:p>
            <w:pPr>
              <w:pStyle w:val="Compact"/>
            </w:pPr>
            <w:r>
              <w:t xml:space="preserve">Claude + OSS</w:t>
            </w:r>
          </w:p>
        </w:tc>
        <w:tc>
          <w:tcPr/>
          <w:p>
            <w:pPr>
              <w:pStyle w:val="Compact"/>
            </w:pPr>
            <w:r>
              <w:t xml:space="preserve">Gemini 3 + Claude + OSS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Funding</w:t>
            </w:r>
          </w:p>
        </w:tc>
        <w:tc>
          <w:tcPr/>
          <w:p>
            <w:pPr>
              <w:pStyle w:val="Compact"/>
            </w:pPr>
            <w:r>
              <w:t xml:space="preserve">Max sub / API</w:t>
            </w:r>
          </w:p>
        </w:tc>
        <w:tc>
          <w:tcPr/>
          <w:p>
            <w:pPr>
              <w:pStyle w:val="Compact"/>
            </w:pPr>
            <w:r>
              <w:t xml:space="preserve">ChatGPT sub / API</w:t>
            </w:r>
          </w:p>
        </w:tc>
        <w:tc>
          <w:tcPr/>
          <w:p>
            <w:pPr>
              <w:pStyle w:val="Compact"/>
            </w:pPr>
            <w:r>
              <w:t xml:space="preserve">Kiro credits</w:t>
            </w:r>
          </w:p>
        </w:tc>
        <w:tc>
          <w:tcPr/>
          <w:p>
            <w:pPr>
              <w:pStyle w:val="Compact"/>
            </w:pPr>
            <w:r>
              <w:t xml:space="preserve">Google free / Pro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No-account entry</w:t>
            </w:r>
          </w:p>
        </w:tc>
        <w:tc>
          <w:tcPr/>
          <w:p>
            <w:pPr>
              <w:pStyle w:val="Compact"/>
            </w:pPr>
            <w:r>
              <w:t xml:space="preserve">API key</w:t>
            </w:r>
          </w:p>
        </w:tc>
        <w:tc>
          <w:tcPr/>
          <w:p>
            <w:pPr>
              <w:pStyle w:val="Compact"/>
            </w:pPr>
            <w:r>
              <w:t xml:space="preserve">❌ account required</w:t>
            </w:r>
          </w:p>
        </w:tc>
        <w:tc>
          <w:tcPr/>
          <w:p>
            <w:pPr>
              <w:pStyle w:val="Compact"/>
            </w:pPr>
            <w:r>
              <w:t xml:space="preserve">Builder ID</w:t>
            </w:r>
          </w:p>
        </w:tc>
        <w:tc>
          <w:tcPr/>
          <w:p>
            <w:pPr>
              <w:pStyle w:val="Compact"/>
            </w:pPr>
            <w:r>
              <w:t xml:space="preserve">Google free tier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Cadora status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default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recommended</w:t>
            </w:r>
          </w:p>
        </w:tc>
        <w:tc>
          <w:tcPr/>
          <w:p>
            <w:pPr>
              <w:pStyle w:val="Compact"/>
            </w:pPr>
            <w:r>
              <w:t xml:space="preserve">supported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experimental</w:t>
            </w:r>
          </w:p>
        </w:tc>
      </w:tr>
    </w:tbl>
    <w:p>
      <w:pPr>
        <w:pStyle w:val="BodyText"/>
      </w:pPr>
      <w:r>
        <w:t xml:space="preserve">The takeaway is reinforced:</w:t>
      </w:r>
      <w:r>
        <w:t xml:space="preserve"> </w:t>
      </w:r>
      <w:r>
        <w:rPr>
          <w:b/>
          <w:bCs/>
        </w:rPr>
        <w:t xml:space="preserve">don’t bet on one vendor.</w:t>
      </w:r>
      <w:r>
        <w:t xml:space="preserve"> </w:t>
      </w:r>
      <w:r>
        <w:t xml:space="preserve">Claude Code is the default (cleanest capture, own-the-loop, subscription funding); Codex is the strong second (structured output, ChatGPT-subscription funding); Kiro is the AWS/demo backend; Antigravity rounds out coverage once Google fixes</w:t>
      </w:r>
      <w:r>
        <w:t xml:space="preserve"> </w:t>
      </w:r>
      <w:r>
        <w:rPr>
          <w:rStyle w:val="VerbatimChar"/>
        </w:rPr>
        <w:t xml:space="preserve">agy</w:t>
      </w:r>
      <w:r>
        <w:t xml:space="preserve">. Same topology, same archive, four backends — and A/B-ing them is a</w:t>
      </w:r>
      <w:r>
        <w:t xml:space="preserve"> </w:t>
      </w:r>
      <w:r>
        <w:rPr>
          <w:rStyle w:val="VerbatimChar"/>
        </w:rPr>
        <w:t xml:space="preserve">--executor</w:t>
      </w:r>
      <w:r>
        <w:t xml:space="preserve"> </w:t>
      </w:r>
      <w:r>
        <w:t xml:space="preserve">flag.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5" w:name="the-two-context-strategy"/>
    <w:p>
      <w:pPr>
        <w:pStyle w:val="Heading2"/>
      </w:pPr>
      <w:r>
        <w:t xml:space="preserve">4. The two-context strategy</w:t>
      </w:r>
    </w:p>
    <w:p>
      <w:pPr>
        <w:pStyle w:val="FirstParagraph"/>
      </w:pPr>
      <w:r>
        <w:t xml:space="preserve">The two runners map cleanly onto the two work contexts the consulting plan creates: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Context</w:t>
            </w:r>
          </w:p>
        </w:tc>
        <w:tc>
          <w:tcPr/>
          <w:p>
            <w:pPr>
              <w:pStyle w:val="Compact"/>
            </w:pPr>
            <w:r>
              <w:t xml:space="preserve">Runner</w:t>
            </w:r>
          </w:p>
        </w:tc>
        <w:tc>
          <w:tcPr/>
          <w:p>
            <w:pPr>
              <w:pStyle w:val="Compac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Client-facing / AWS demos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Kiro CLI / Kiro IDE</w:t>
            </w:r>
          </w:p>
        </w:tc>
        <w:tc>
          <w:tcPr/>
          <w:p>
            <w:pPr>
              <w:pStyle w:val="Compact"/>
            </w:pPr>
            <w:r>
              <w:t xml:space="preserve">AWS-native; spec-driven flow clients can watch; deploys to their AWS; you hold the Pro license + an account; impressive for AWS engagements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Personal experimentation / knowledge capture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Claude Code</w:t>
            </w:r>
          </w:p>
        </w:tc>
        <w:tc>
          <w:tcPr/>
          <w:p>
            <w:pPr>
              <w:pStyle w:val="Compact"/>
            </w:pPr>
            <w:r>
              <w:t xml:space="preserve">structured capture, own-the-loop, cheap via subscription, cleanest</w:t>
            </w:r>
          </w:p>
        </w:tc>
      </w:tr>
    </w:tbl>
    <w:p>
      <w:pPr>
        <w:pStyle w:val="BodyText"/>
      </w:pPr>
      <w:r>
        <w:t xml:space="preserve">You author a topology</w:t>
      </w:r>
      <w:r>
        <w:t xml:space="preserve"> </w:t>
      </w:r>
      <w:r>
        <w:rPr>
          <w:b/>
          <w:bCs/>
        </w:rPr>
        <w:t xml:space="preserve">once</w:t>
      </w:r>
      <w:r>
        <w:t xml:space="preserve"> </w:t>
      </w:r>
      <w:r>
        <w:t xml:space="preserve">and can either demo it on Kiro in front of a client or iterate on it personally on Claude Code. Kiro’s interactive</w:t>
      </w:r>
      <w:r>
        <w:t xml:space="preserve"> </w:t>
      </w:r>
      <w:r>
        <w:rPr>
          <w:b/>
          <w:bCs/>
        </w:rPr>
        <w:t xml:space="preserve">spec-driven IDE</w:t>
      </w:r>
      <w:r>
        <w:t xml:space="preserve"> </w:t>
      </w:r>
      <w:r>
        <w:t xml:space="preserve">(requirements → design → tasks) is also genuinely good for</w:t>
      </w:r>
      <w:r>
        <w:t xml:space="preserve"> </w:t>
      </w:r>
      <w:r>
        <w:rPr>
          <w:i/>
          <w:iCs/>
        </w:rPr>
        <w:t xml:space="preserve">authoring</w:t>
      </w:r>
      <w:r>
        <w:t xml:space="preserve"> </w:t>
      </w:r>
      <w:r>
        <w:t xml:space="preserve">topologies and prompts, even though you don’t drive specs headlessly.</w:t>
      </w:r>
    </w:p>
    <w:p>
      <w:r>
        <w:pict>
          <v:rect style="width:0;height:1.5pt" o:hralign="center" o:hrstd="t" o:hr="t"/>
        </w:pict>
      </w:r>
    </w:p>
    <w:bookmarkEnd w:id="15"/>
    <w:bookmarkStart w:id="16" w:name="what-this-does-to-delete-vs-keep"/>
    <w:p>
      <w:pPr>
        <w:pStyle w:val="Heading2"/>
      </w:pPr>
      <w:r>
        <w:t xml:space="preserve">5. What this does to</w:t>
      </w:r>
      <w:r>
        <w:t xml:space="preserve"> </w:t>
      </w:r>
      <w:r>
        <w:t xml:space="preserve">“delete vs keep”</w:t>
      </w:r>
    </w:p>
    <w:p>
      <w:pPr>
        <w:pStyle w:val="FirstParagraph"/>
      </w:pPr>
      <w:r>
        <w:t xml:space="preserve">The consulting reframe</w:t>
      </w:r>
      <w:r>
        <w:t xml:space="preserve"> </w:t>
      </w:r>
      <w:r>
        <w:rPr>
          <w:b/>
          <w:bCs/>
        </w:rPr>
        <w:t xml:space="preserve">adds a third column</w:t>
      </w:r>
      <w:r>
        <w:t xml:space="preserve"> </w:t>
      </w:r>
      <w:r>
        <w:t xml:space="preserve">to the strategy doc’s §4 inventory. The runtime/infra still goes; one slice of the</w:t>
      </w:r>
      <w:r>
        <w:t xml:space="preserve"> </w:t>
      </w:r>
      <w:r>
        <w:t xml:space="preserve">“AWS-coupled”</w:t>
      </w:r>
      <w:r>
        <w:t xml:space="preserve"> </w:t>
      </w:r>
      <w:r>
        <w:t xml:space="preserve">content gets promoted: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Component</w:t>
            </w:r>
          </w:p>
        </w:tc>
        <w:tc>
          <w:tcPr/>
          <w:p>
            <w:pPr>
              <w:pStyle w:val="Compact"/>
            </w:pPr>
            <w:r>
              <w:t xml:space="preserve">Original fate</w:t>
            </w:r>
          </w:p>
        </w:tc>
        <w:tc>
          <w:tcPr/>
          <w:p>
            <w:pPr>
              <w:pStyle w:val="Compact"/>
            </w:pPr>
            <w:r>
              <w:t xml:space="preserve">Revised fate (consulting)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Agent loop, Bedrock client, model adapters, Podman/Postgres/Celery</w:t>
            </w:r>
          </w:p>
        </w:tc>
        <w:tc>
          <w:tcPr/>
          <w:p>
            <w:pPr>
              <w:pStyle w:val="Compact"/>
            </w:pPr>
            <w:r>
              <w:t xml:space="preserve">delete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delete</w:t>
            </w:r>
            <w:r>
              <w:t xml:space="preserve"> </w:t>
            </w:r>
            <w:r>
              <w:t xml:space="preserve">(unchanged — needed for neither demos nor personal use)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Topology prompts, builtin skills, eval pipeline, run-archive/compare</w:t>
            </w:r>
          </w:p>
        </w:tc>
        <w:tc>
          <w:tcPr/>
          <w:p>
            <w:pPr>
              <w:pStyle w:val="Compact"/>
            </w:pPr>
            <w:r>
              <w:t xml:space="preserve">keep</w:t>
            </w:r>
          </w:p>
        </w:tc>
        <w:tc>
          <w:tcPr/>
          <w:p>
            <w:pPr>
              <w:pStyle w:val="Compact"/>
            </w:pPr>
            <w:r>
              <w:t xml:space="preserve">keep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AWS-deploy topologies</w:t>
            </w:r>
            <w:r>
              <w:t xml:space="preserve"> </w:t>
            </w:r>
            <w:r>
              <w:t xml:space="preserve">— DE-Prep / DE-Apply, AgentCore flows,</w:t>
            </w:r>
            <w:r>
              <w:t xml:space="preserve"> </w:t>
            </w:r>
            <w:r>
              <w:rPr>
                <w:rStyle w:val="VerbatimChar"/>
              </w:rPr>
              <w:t xml:space="preserve">deploy_app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deploy-federate-sso</w:t>
            </w:r>
            <w:r>
              <w:t xml:space="preserve">, AI-DLC</w:t>
            </w:r>
          </w:p>
        </w:tc>
        <w:tc>
          <w:tcPr/>
          <w:p>
            <w:pPr>
              <w:pStyle w:val="Compact"/>
            </w:pPr>
            <w:r>
              <w:t xml:space="preserve">(implicitly AWS-coupled)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keep + polish as consulting demo IP</w:t>
            </w:r>
          </w:p>
        </w:tc>
      </w:tr>
    </w:tbl>
    <w:p>
      <w:pPr>
        <w:pStyle w:val="BodyText"/>
      </w:pPr>
      <w:r>
        <w:t xml:space="preserve">An AWS consultant demoing</w:t>
      </w:r>
      <w:r>
        <w:t xml:space="preserve"> </w:t>
      </w:r>
      <w:r>
        <w:rPr>
          <w:i/>
          <w:iCs/>
        </w:rPr>
        <w:t xml:space="preserve">“an agentic pipeline that generates and deploys a secure AgentCore backend, with security gates”</w:t>
      </w:r>
      <w:r>
        <w:t xml:space="preserve"> </w:t>
      </w:r>
      <w:r>
        <w:t xml:space="preserve">has a strong sales asset — exactly what the DE-Prep/AgentCore content already does.</w:t>
      </w:r>
    </w:p>
    <w:p>
      <w:r>
        <w:pict>
          <v:rect style="width:0;height:1.5pt" o:hralign="center" o:hrstd="t" o:hr="t"/>
        </w:pict>
      </w:r>
    </w:p>
    <w:bookmarkEnd w:id="16"/>
    <w:bookmarkStart w:id="17" w:name="Xf102373603c29ec3dff6af4171d715d64ce8aff"/>
    <w:p>
      <w:pPr>
        <w:pStyle w:val="Heading2"/>
      </w:pPr>
      <w:r>
        <w:t xml:space="preserve">6. The</w:t>
      </w:r>
      <w:r>
        <w:t xml:space="preserve"> </w:t>
      </w:r>
      <w:r>
        <w:t xml:space="preserve">“separate product?”</w:t>
      </w:r>
      <w:r>
        <w:t xml:space="preserve"> </w:t>
      </w:r>
      <w:r>
        <w:t xml:space="preserve">question — now commercial</w:t>
      </w:r>
    </w:p>
    <w:p>
      <w:pPr>
        <w:pStyle w:val="FirstParagraph"/>
      </w:pPr>
      <w:r>
        <w:t xml:space="preserve">In the strategy doc the answer was: keep the DAG runner + knowledge capture together as a lightweight local tool, split away from the heavy platform. The consulting plan adds a</w:t>
      </w:r>
      <w:r>
        <w:t xml:space="preserve"> </w:t>
      </w:r>
      <w:r>
        <w:rPr>
          <w:b/>
          <w:bCs/>
        </w:rPr>
        <w:t xml:space="preserve">commercial</w:t>
      </w:r>
      <w:r>
        <w:t xml:space="preserve"> </w:t>
      </w:r>
      <w:r>
        <w:t xml:space="preserve">rationale: that tool —</w:t>
      </w:r>
      <w:r>
        <w:t xml:space="preserve"> </w:t>
      </w:r>
      <w:r>
        <w:rPr>
          <w:b/>
          <w:bCs/>
        </w:rPr>
        <w:t xml:space="preserve">Cadora</w:t>
      </w:r>
      <w:r>
        <w:t xml:space="preserve"> </w:t>
      </w:r>
      <w:r>
        <w:t xml:space="preserve">— is a</w:t>
      </w:r>
      <w:r>
        <w:t xml:space="preserve"> </w:t>
      </w:r>
      <w:r>
        <w:rPr>
          <w:b/>
          <w:bCs/>
        </w:rPr>
        <w:t xml:space="preserve">consulting accelerator / IP</w:t>
      </w:r>
      <w:r>
        <w:t xml:space="preserve">: an opinionated agentic-delivery harness (topologies + per-node security gates + eval/archive capture), demoable on Kiro, aligned with the AI-DLC framing AO’s docs already carry. It’s a differentiator you bring to engagements, not just a personal toy.</w:t>
      </w:r>
    </w:p>
    <w:p>
      <w:r>
        <w:pict>
          <v:rect style="width:0;height:1.5pt" o:hralign="center" o:hrstd="t" o:hr="t"/>
        </w:pict>
      </w:r>
    </w:p>
    <w:bookmarkEnd w:id="17"/>
    <w:bookmarkStart w:id="18" w:name="funding-map-the-tos-line"/>
    <w:p>
      <w:pPr>
        <w:pStyle w:val="Heading2"/>
      </w:pPr>
      <w:r>
        <w:t xml:space="preserve">7. Funding map + the ToS line</w:t>
      </w:r>
    </w:p>
    <w:p>
      <w:pPr>
        <w:pStyle w:val="FirstParagraph"/>
      </w:pPr>
      <w:r>
        <w:t xml:space="preserve">Three funding sources, each matched to a context: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Source</w:t>
            </w:r>
          </w:p>
        </w:tc>
        <w:tc>
          <w:tcPr/>
          <w:p>
            <w:pPr>
              <w:pStyle w:val="Compact"/>
            </w:pPr>
            <w:r>
              <w:t xml:space="preserve">Cost</w:t>
            </w:r>
          </w:p>
        </w:tc>
        <w:tc>
          <w:tcPr/>
          <w:p>
            <w:pPr>
              <w:pStyle w:val="Compact"/>
            </w:pPr>
            <w:r>
              <w:t xml:space="preserve">Use for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Kiro Pro</w:t>
            </w:r>
          </w:p>
        </w:tc>
        <w:tc>
          <w:tcPr/>
          <w:p>
            <w:pPr>
              <w:pStyle w:val="Compact"/>
            </w:pPr>
            <w:r>
              <w:t xml:space="preserve">$20/mo, 1,000 credits (overage $0.04/credit; Pro+ $40/2k, Power $200/10k)</w:t>
            </w:r>
          </w:p>
        </w:tc>
        <w:tc>
          <w:tcPr/>
          <w:p>
            <w:pPr>
              <w:pStyle w:val="Compact"/>
            </w:pPr>
            <w:r>
              <w:t xml:space="preserve">demos + light client-facing Kiro runs; headless</w:t>
            </w:r>
            <w:r>
              <w:t xml:space="preserve"> </w:t>
            </w:r>
            <w:r>
              <w:rPr>
                <w:rStyle w:val="VerbatimChar"/>
              </w:rPr>
              <w:t xml:space="preserve">KIRO_API_KEY</w:t>
            </w:r>
            <w:r>
              <w:t xml:space="preserve"> </w:t>
            </w:r>
            <w:r>
              <w:t xml:space="preserve">works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Claude (Max sub or API)</w:t>
            </w:r>
          </w:p>
        </w:tc>
        <w:tc>
          <w:tcPr/>
          <w:p>
            <w:pPr>
              <w:pStyle w:val="Compact"/>
            </w:pPr>
            <w:r>
              <w:t xml:space="preserve">Max ~$100–200/mo flat, or API ~$600–1,100/2mo cached</w:t>
            </w:r>
          </w:p>
        </w:tc>
        <w:tc>
          <w:tcPr/>
          <w:p>
            <w:pPr>
              <w:pStyle w:val="Compact"/>
            </w:pPr>
            <w:r>
              <w:t xml:space="preserve">heavy personal experimentation (precise token accounting + caching)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Consulting AWS account (Bedrock)</w:t>
            </w:r>
          </w:p>
        </w:tc>
        <w:tc>
          <w:tcPr/>
          <w:p>
            <w:pPr>
              <w:pStyle w:val="Compact"/>
            </w:pPr>
            <w:r>
              <w:t xml:space="preserve">pay-as-you-go on the consulting account</w:t>
            </w:r>
          </w:p>
        </w:tc>
        <w:tc>
          <w:tcPr/>
          <w:p>
            <w:pPr>
              <w:pStyle w:val="Compact"/>
            </w:pPr>
            <w:r>
              <w:t xml:space="preserve">client work, run in the client’s context</w:t>
            </w:r>
          </w:p>
        </w:tc>
      </w:tr>
    </w:tbl>
    <w:p>
      <w:pPr>
        <w:pStyle w:val="BodyText"/>
      </w:pPr>
      <w:r>
        <w:rPr>
          <w:b/>
          <w:bCs/>
        </w:rPr>
        <w:t xml:space="preserve">Kiro Pro reality check:</w:t>
      </w:r>
      <w:r>
        <w:t xml:space="preserve"> </w:t>
      </w:r>
      <w:r>
        <w:t xml:space="preserve">1,000 credits/mo is modest — a full spec-task is 5+ credits, so a heavy multi-node topology run can burn 50–100+ credits. Fine for curated demos and light use; it</w:t>
      </w:r>
      <w:r>
        <w:t xml:space="preserve"> </w:t>
      </w:r>
      <w:r>
        <w:rPr>
          <w:i/>
          <w:iCs/>
        </w:rPr>
        <w:t xml:space="preserve">reinforces the split</w:t>
      </w:r>
      <w:r>
        <w:t xml:space="preserve"> </w:t>
      </w:r>
      <w:r>
        <w:t xml:space="preserve">(Kiro for polished demos, Claude Code for high-volume iteration).</w:t>
      </w:r>
    </w:p>
    <w:p>
      <w:pPr>
        <w:pStyle w:val="BodyText"/>
      </w:pPr>
      <w:r>
        <w:rPr>
          <w:b/>
          <w:bCs/>
        </w:rPr>
        <w:t xml:space="preserve">ToS line (now with money attached):</w:t>
      </w:r>
      <w:r>
        <w:t xml:space="preserve"> </w:t>
      </w:r>
      <w:r>
        <w:t xml:space="preserve">your personal Kiro Pro and Claude subscription power</w:t>
      </w:r>
      <w:r>
        <w:t xml:space="preserve"> </w:t>
      </w:r>
      <w:r>
        <w:rPr>
          <w:b/>
          <w:bCs/>
        </w:rPr>
        <w:t xml:space="preserve">your own</w:t>
      </w:r>
      <w:r>
        <w:t xml:space="preserve"> </w:t>
      </w:r>
      <w:r>
        <w:t xml:space="preserve">use and</w:t>
      </w:r>
      <w:r>
        <w:t xml:space="preserve"> </w:t>
      </w:r>
      <w:r>
        <w:rPr>
          <w:b/>
          <w:bCs/>
        </w:rPr>
        <w:t xml:space="preserve">your own</w:t>
      </w:r>
      <w:r>
        <w:t xml:space="preserve"> </w:t>
      </w:r>
      <w:r>
        <w:t xml:space="preserve">demos — allowed.</w:t>
      </w:r>
      <w:r>
        <w:t xml:space="preserve"> </w:t>
      </w:r>
      <w:r>
        <w:rPr>
          <w:b/>
          <w:bCs/>
        </w:rPr>
        <w:t xml:space="preserve">Client delivery</w:t>
      </w:r>
      <w:r>
        <w:t xml:space="preserve"> </w:t>
      </w:r>
      <w:r>
        <w:t xml:space="preserve">(paid work on a client’s codebase/workloads) should run in the</w:t>
      </w:r>
      <w:r>
        <w:t xml:space="preserve"> </w:t>
      </w:r>
      <w:r>
        <w:rPr>
          <w:b/>
          <w:bCs/>
        </w:rPr>
        <w:t xml:space="preserve">client’s account / on API billing per engagement</w:t>
      </w:r>
      <w:r>
        <w:t xml:space="preserve">, not pooled through your personal license. This is why the adapter should take</w:t>
      </w:r>
      <w:r>
        <w:t xml:space="preserve"> </w:t>
      </w:r>
      <w:r>
        <w:rPr>
          <w:b/>
          <w:bCs/>
        </w:rPr>
        <w:t xml:space="preserve">credentials as a per-run config</w:t>
      </w:r>
      <w:r>
        <w:t xml:space="preserve"> </w:t>
      </w:r>
      <w:r>
        <w:t xml:space="preserve">(§2).</w:t>
      </w:r>
    </w:p>
    <w:p>
      <w:r>
        <w:pict>
          <v:rect style="width:0;height:1.5pt" o:hralign="center" o:hrstd="t" o:hr="t"/>
        </w:pict>
      </w:r>
    </w:p>
    <w:bookmarkEnd w:id="18"/>
    <w:bookmarkStart w:id="19" w:name="recommendation"/>
    <w:p>
      <w:pPr>
        <w:pStyle w:val="Heading2"/>
      </w:pPr>
      <w:r>
        <w:t xml:space="preserve">8. Recommendation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Build the runner backend-agnostic</w:t>
      </w:r>
      <w:r>
        <w:t xml:space="preserve"> </w:t>
      </w:r>
      <w:r>
        <w:t xml:space="preserve">(</w:t>
      </w:r>
      <w:r>
        <w:rPr>
          <w:rStyle w:val="VerbatimChar"/>
        </w:rPr>
        <w:t xml:space="preserve">NodeExecutor</w:t>
      </w:r>
      <w:r>
        <w:t xml:space="preserve"> </w:t>
      </w:r>
      <w:r>
        <w:t xml:space="preserve">adapter). This is the central decision.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Default executor: Claude Code</w:t>
      </w:r>
      <w:r>
        <w:t xml:space="preserve"> </w:t>
      </w:r>
      <w:r>
        <w:t xml:space="preserve">— structured capture, own-the-loop, cleanest escape, subscription funding.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First-class second backend: Kiro CLI</w:t>
      </w:r>
      <w:r>
        <w:t xml:space="preserve"> </w:t>
      </w:r>
      <w:r>
        <w:t xml:space="preserve">— for AWS/client demos; cheap to add given existing</w:t>
      </w:r>
      <w:r>
        <w:t xml:space="preserve"> </w:t>
      </w:r>
      <w:r>
        <w:rPr>
          <w:rStyle w:val="VerbatimChar"/>
        </w:rPr>
        <w:t xml:space="preserve">.kiro/</w:t>
      </w:r>
      <w:r>
        <w:t xml:space="preserve"> </w:t>
      </w:r>
      <w:r>
        <w:t xml:space="preserve">scaffolding and a Kiro Pro license in hand.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Keep + polish the AWS-deploy topologies</w:t>
      </w:r>
      <w:r>
        <w:t xml:space="preserve"> </w:t>
      </w:r>
      <w:r>
        <w:t xml:space="preserve">as consulting demo IP rather than deleting them.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Still delete</w:t>
      </w:r>
      <w:r>
        <w:t xml:space="preserve"> </w:t>
      </w:r>
      <w:r>
        <w:t xml:space="preserve">the Podman/Postgres/Celery runtime + Bedrock client.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Credentials are per-run config</w:t>
      </w:r>
      <w:r>
        <w:t xml:space="preserve"> </w:t>
      </w:r>
      <w:r>
        <w:t xml:space="preserve">so the same runner serves personal use, demos, and client accounts within ToS.</w:t>
      </w:r>
    </w:p>
    <w:p>
      <w:r>
        <w:pict>
          <v:rect style="width:0;height:1.5pt" o:hralign="center" o:hrstd="t" o:hr="t"/>
        </w:pict>
      </w:r>
    </w:p>
    <w:bookmarkEnd w:id="19"/>
    <w:bookmarkStart w:id="20" w:name="Xa8025f0dd28a1081165f7c89c5b933be76ffa43"/>
    <w:p>
      <w:pPr>
        <w:pStyle w:val="Heading2"/>
      </w:pPr>
      <w:r>
        <w:t xml:space="preserve">9. Implied edits to the main strategy doc (if you later want them merged)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§4 (delete vs keep):</w:t>
      </w:r>
      <w:r>
        <w:t xml:space="preserve"> </w:t>
      </w:r>
      <w:r>
        <w:t xml:space="preserve">add the</w:t>
      </w:r>
      <w:r>
        <w:t xml:space="preserve"> </w:t>
      </w:r>
      <w:r>
        <w:t xml:space="preserve">“keep as consulting demo IP”</w:t>
      </w:r>
      <w:r>
        <w:t xml:space="preserve"> </w:t>
      </w:r>
      <w:r>
        <w:t xml:space="preserve">column from §5 above.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New §7.1:</w:t>
      </w:r>
      <w:r>
        <w:t xml:space="preserve"> </w:t>
      </w:r>
      <w:r>
        <w:t xml:space="preserve">the backend-agnostic adapter + the Claude Code vs Kiro comparison table (§2–§3 here).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§8 (separate product?):</w:t>
      </w:r>
      <w:r>
        <w:t xml:space="preserve"> </w:t>
      </w:r>
      <w:r>
        <w:t xml:space="preserve">add the consulting-accelerator/IP angle (§6 here).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§9.6 (funding):</w:t>
      </w:r>
      <w:r>
        <w:t xml:space="preserve"> </w:t>
      </w:r>
      <w:r>
        <w:t xml:space="preserve">add the three-source funding map and the client-delivery ToS line (§7 here).</w:t>
      </w:r>
    </w:p>
    <w:p>
      <w:pPr>
        <w:pStyle w:val="FirstParagraph"/>
      </w:pPr>
      <w:r>
        <w:t xml:space="preserve">This standalone doc can also simply remain the companion; the main doc need not change.</w:t>
      </w:r>
    </w:p>
    <w:p>
      <w:r>
        <w:pict>
          <v:rect style="width:0;height:1.5pt" o:hralign="center" o:hrstd="t" o:hr="t"/>
        </w:pict>
      </w:r>
    </w:p>
    <w:bookmarkEnd w:id="20"/>
    <w:bookmarkStart w:id="35" w:name="sources"/>
    <w:p>
      <w:pPr>
        <w:pStyle w:val="Heading2"/>
      </w:pPr>
      <w:r>
        <w:t xml:space="preserve">Sources</w:t>
      </w:r>
    </w:p>
    <w:p>
      <w:pPr>
        <w:pStyle w:val="Compact"/>
        <w:numPr>
          <w:ilvl w:val="0"/>
          <w:numId w:val="1006"/>
        </w:numPr>
      </w:pPr>
      <w:r>
        <w:t xml:space="preserve">Kiro headless mode + CLI:</w:t>
      </w:r>
      <w:r>
        <w:t xml:space="preserve"> </w:t>
      </w:r>
      <w:hyperlink r:id="rId21">
        <w:r>
          <w:rPr>
            <w:rStyle w:val="Hyperlink"/>
          </w:rPr>
          <w:t xml:space="preserve">kiro.dev/docs/cli/headless</w:t>
        </w:r>
      </w:hyperlink>
      <w:r>
        <w:t xml:space="preserve">,</w:t>
      </w:r>
      <w:r>
        <w:t xml:space="preserve"> </w:t>
      </w:r>
      <w:hyperlink r:id="rId22">
        <w:r>
          <w:rPr>
            <w:rStyle w:val="Hyperlink"/>
          </w:rPr>
          <w:t xml:space="preserve">CLI command reference</w:t>
        </w:r>
      </w:hyperlink>
      <w:r>
        <w:t xml:space="preserve">,</w:t>
      </w:r>
      <w:r>
        <w:t xml:space="preserve"> </w:t>
      </w:r>
      <w:hyperlink r:id="rId23">
        <w:r>
          <w:rPr>
            <w:rStyle w:val="Hyperlink"/>
          </w:rPr>
          <w:t xml:space="preserve">headless announcement (2026-04-13)</w:t>
        </w:r>
      </w:hyperlink>
      <w:r>
        <w:t xml:space="preserve">,</w:t>
      </w:r>
      <w:r>
        <w:t xml:space="preserve"> </w:t>
      </w:r>
      <w:hyperlink r:id="rId24">
        <w:r>
          <w:rPr>
            <w:rStyle w:val="Hyperlink"/>
          </w:rPr>
          <w:t xml:space="preserve">migrating from Q</w:t>
        </w:r>
      </w:hyperlink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Q Developer deprecation:</w:t>
      </w:r>
      <w:r>
        <w:t xml:space="preserve"> </w:t>
      </w:r>
      <w:hyperlink r:id="rId25">
        <w:r>
          <w:rPr>
            <w:rStyle w:val="Hyperlink"/>
          </w:rPr>
          <w:t xml:space="preserve">Amazon Q Developer end-of-support (AWS)</w:t>
        </w:r>
      </w:hyperlink>
      <w:r>
        <w:t xml:space="preserve">,</w:t>
      </w:r>
      <w:r>
        <w:t xml:space="preserve"> </w:t>
      </w:r>
      <w:hyperlink r:id="rId26">
        <w:r>
          <w:rPr>
            <w:rStyle w:val="Hyperlink"/>
          </w:rPr>
          <w:t xml:space="preserve">aws/amazon-q-developer-cli README banner</w:t>
        </w:r>
      </w:hyperlink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Kiro hooks / custom agents / MCP:</w:t>
      </w:r>
      <w:r>
        <w:t xml:space="preserve"> </w:t>
      </w:r>
      <w:hyperlink r:id="rId27">
        <w:r>
          <w:rPr>
            <w:rStyle w:val="Hyperlink"/>
          </w:rPr>
          <w:t xml:space="preserve">hooks</w:t>
        </w:r>
      </w:hyperlink>
      <w:r>
        <w:t xml:space="preserve">,</w:t>
      </w:r>
      <w:r>
        <w:t xml:space="preserve"> </w:t>
      </w:r>
      <w:hyperlink r:id="rId28">
        <w:r>
          <w:rPr>
            <w:rStyle w:val="Hyperlink"/>
          </w:rPr>
          <w:t xml:space="preserve">custom-agent config reference</w:t>
        </w:r>
      </w:hyperlink>
      <w:r>
        <w:t xml:space="preserve">,</w:t>
      </w:r>
      <w:r>
        <w:t xml:space="preserve"> </w:t>
      </w:r>
      <w:hyperlink r:id="rId29">
        <w:r>
          <w:rPr>
            <w:rStyle w:val="Hyperlink"/>
          </w:rPr>
          <w:t xml:space="preserve">MCP config</w:t>
        </w:r>
      </w:hyperlink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Auth / pricing / models:</w:t>
      </w:r>
      <w:r>
        <w:t xml:space="preserve"> </w:t>
      </w:r>
      <w:hyperlink r:id="rId30">
        <w:r>
          <w:rPr>
            <w:rStyle w:val="Hyperlink"/>
          </w:rPr>
          <w:t xml:space="preserve">authentication</w:t>
        </w:r>
      </w:hyperlink>
      <w:r>
        <w:t xml:space="preserve">,</w:t>
      </w:r>
      <w:r>
        <w:t xml:space="preserve"> </w:t>
      </w:r>
      <w:hyperlink r:id="rId31">
        <w:r>
          <w:rPr>
            <w:rStyle w:val="Hyperlink"/>
          </w:rPr>
          <w:t xml:space="preserve">pricing</w:t>
        </w:r>
      </w:hyperlink>
      <w:r>
        <w:t xml:space="preserve">,</w:t>
      </w:r>
      <w:r>
        <w:t xml:space="preserve"> </w:t>
      </w:r>
      <w:hyperlink r:id="rId32">
        <w:r>
          <w:rPr>
            <w:rStyle w:val="Hyperlink"/>
          </w:rPr>
          <w:t xml:space="preserve">unified credits + Auto</w:t>
        </w:r>
      </w:hyperlink>
      <w:r>
        <w:t xml:space="preserve">,</w:t>
      </w:r>
      <w:r>
        <w:t xml:space="preserve"> </w:t>
      </w:r>
      <w:hyperlink r:id="rId33">
        <w:r>
          <w:rPr>
            <w:rStyle w:val="Hyperlink"/>
          </w:rPr>
          <w:t xml:space="preserve">models</w:t>
        </w:r>
      </w:hyperlink>
      <w:r>
        <w:t xml:space="preserve">,</w:t>
      </w:r>
      <w:r>
        <w:t xml:space="preserve"> </w:t>
      </w:r>
      <w:hyperlink r:id="rId34">
        <w:r>
          <w:rPr>
            <w:rStyle w:val="Hyperlink"/>
          </w:rPr>
          <w:t xml:space="preserve">data protection</w:t>
        </w:r>
      </w:hyperlink>
      <w:r>
        <w:t xml:space="preserve">.</w:t>
      </w:r>
    </w:p>
    <w:p>
      <w:pPr>
        <w:pStyle w:val="Compact"/>
        <w:numPr>
          <w:ilvl w:val="0"/>
          <w:numId w:val="1006"/>
        </w:numPr>
      </w:pPr>
      <w:r>
        <w:t xml:space="preserve">Existing AO Kiro integration:</w:t>
      </w:r>
      <w:r>
        <w:t xml:space="preserve"> </w:t>
      </w:r>
      <w:r>
        <w:rPr>
          <w:rStyle w:val="VerbatimChar"/>
        </w:rPr>
        <w:t xml:space="preserve">.kiro/</w:t>
      </w:r>
      <w:r>
        <w:t xml:space="preserve"> </w:t>
      </w:r>
      <w:r>
        <w:t xml:space="preserve">in this repo (skills, steering,</w:t>
      </w:r>
      <w:r>
        <w:t xml:space="preserve"> </w:t>
      </w:r>
      <w:r>
        <w:rPr>
          <w:rStyle w:val="VerbatimChar"/>
        </w:rPr>
        <w:t xml:space="preserve">agents/ao-dev.json</w:t>
      </w:r>
      <w:r>
        <w:t xml:space="preserve">);</w:t>
      </w:r>
      <w:r>
        <w:t xml:space="preserve"> </w:t>
      </w:r>
      <w:r>
        <w:rPr>
          <w:rStyle w:val="VerbatimChar"/>
        </w:rPr>
        <w:t xml:space="preserve">AGENTS.md</w:t>
      </w:r>
      <w:r>
        <w:t xml:space="preserve">,</w:t>
      </w:r>
      <w:r>
        <w:t xml:space="preserve"> </w:t>
      </w:r>
      <w:r>
        <w:rPr>
          <w:rStyle w:val="VerbatimChar"/>
        </w:rPr>
        <w:t xml:space="preserve">CLAUDE.md</w:t>
      </w:r>
      <w:r>
        <w:t xml:space="preserve"> </w:t>
      </w:r>
      <w:r>
        <w:t xml:space="preserve">§Custom Skills.</w:t>
      </w:r>
    </w:p>
    <w:p>
      <w:pPr>
        <w:pStyle w:val="Compact"/>
        <w:numPr>
          <w:ilvl w:val="0"/>
          <w:numId w:val="1006"/>
        </w:numPr>
      </w:pPr>
      <w:r>
        <w:t xml:space="preserve">Parent doc:</w:t>
      </w:r>
      <w:r>
        <w:t xml:space="preserve"> </w:t>
      </w:r>
      <w:r>
        <w:rPr>
          <w:rStyle w:val="VerbatimChar"/>
        </w:rPr>
        <w:t xml:space="preserve">aidlc-docs/operations/ao-claude-code-pivot-strategy-2026-06-18.md</w:t>
      </w:r>
      <w:r>
        <w:t xml:space="preserve">.</w:t>
      </w:r>
    </w:p>
    <w:bookmarkEnd w:id="35"/>
    <w:bookmarkEnd w:id="3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25" Target="https://aws.amazon.com/blogs/devops/amazon-q-developer-end-of-support-announcement/" TargetMode="External" /><Relationship Type="http://schemas.openxmlformats.org/officeDocument/2006/relationships/hyperlink" Id="rId29" Target="https://docs.aws.amazon.com/amazonq/latest/qdeveloper-ug/command-line-mcp-config-CLI.html" TargetMode="External" /><Relationship Type="http://schemas.openxmlformats.org/officeDocument/2006/relationships/hyperlink" Id="rId26" Target="https://github.com/aws/amazon-q-developer-cli" TargetMode="External" /><Relationship Type="http://schemas.openxmlformats.org/officeDocument/2006/relationships/hyperlink" Id="rId23" Target="https://kiro.dev/blog/introducing-headless-mode/" TargetMode="External" /><Relationship Type="http://schemas.openxmlformats.org/officeDocument/2006/relationships/hyperlink" Id="rId32" Target="https://kiro.dev/blog/new-pricing-plans-and-auto/" TargetMode="External" /><Relationship Type="http://schemas.openxmlformats.org/officeDocument/2006/relationships/hyperlink" Id="rId28" Target="https://kiro.dev/docs/cli/custom-agents/configuration-reference/" TargetMode="External" /><Relationship Type="http://schemas.openxmlformats.org/officeDocument/2006/relationships/hyperlink" Id="rId21" Target="https://kiro.dev/docs/cli/headless/" TargetMode="External" /><Relationship Type="http://schemas.openxmlformats.org/officeDocument/2006/relationships/hyperlink" Id="rId27" Target="https://kiro.dev/docs/cli/hooks/" TargetMode="External" /><Relationship Type="http://schemas.openxmlformats.org/officeDocument/2006/relationships/hyperlink" Id="rId24" Target="https://kiro.dev/docs/cli/migrating-from-q/" TargetMode="External" /><Relationship Type="http://schemas.openxmlformats.org/officeDocument/2006/relationships/hyperlink" Id="rId33" Target="https://kiro.dev/docs/cli/models/" TargetMode="External" /><Relationship Type="http://schemas.openxmlformats.org/officeDocument/2006/relationships/hyperlink" Id="rId22" Target="https://kiro.dev/docs/cli/reference/cli-commands/" TargetMode="External" /><Relationship Type="http://schemas.openxmlformats.org/officeDocument/2006/relationships/hyperlink" Id="rId30" Target="https://kiro.dev/docs/getting-started/authentication/" TargetMode="External" /><Relationship Type="http://schemas.openxmlformats.org/officeDocument/2006/relationships/hyperlink" Id="rId34" Target="https://kiro.dev/docs/privacy-and-security/data-protection/" TargetMode="External" /><Relationship Type="http://schemas.openxmlformats.org/officeDocument/2006/relationships/hyperlink" Id="rId31" Target="https://kiro.dev/pricing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https://aws.amazon.com/blogs/devops/amazon-q-developer-end-of-support-announcement/" TargetMode="External" /><Relationship Type="http://schemas.openxmlformats.org/officeDocument/2006/relationships/hyperlink" Id="rId29" Target="https://docs.aws.amazon.com/amazonq/latest/qdeveloper-ug/command-line-mcp-config-CLI.html" TargetMode="External" /><Relationship Type="http://schemas.openxmlformats.org/officeDocument/2006/relationships/hyperlink" Id="rId26" Target="https://github.com/aws/amazon-q-developer-cli" TargetMode="External" /><Relationship Type="http://schemas.openxmlformats.org/officeDocument/2006/relationships/hyperlink" Id="rId23" Target="https://kiro.dev/blog/introducing-headless-mode/" TargetMode="External" /><Relationship Type="http://schemas.openxmlformats.org/officeDocument/2006/relationships/hyperlink" Id="rId32" Target="https://kiro.dev/blog/new-pricing-plans-and-auto/" TargetMode="External" /><Relationship Type="http://schemas.openxmlformats.org/officeDocument/2006/relationships/hyperlink" Id="rId28" Target="https://kiro.dev/docs/cli/custom-agents/configuration-reference/" TargetMode="External" /><Relationship Type="http://schemas.openxmlformats.org/officeDocument/2006/relationships/hyperlink" Id="rId21" Target="https://kiro.dev/docs/cli/headless/" TargetMode="External" /><Relationship Type="http://schemas.openxmlformats.org/officeDocument/2006/relationships/hyperlink" Id="rId27" Target="https://kiro.dev/docs/cli/hooks/" TargetMode="External" /><Relationship Type="http://schemas.openxmlformats.org/officeDocument/2006/relationships/hyperlink" Id="rId24" Target="https://kiro.dev/docs/cli/migrating-from-q/" TargetMode="External" /><Relationship Type="http://schemas.openxmlformats.org/officeDocument/2006/relationships/hyperlink" Id="rId33" Target="https://kiro.dev/docs/cli/models/" TargetMode="External" /><Relationship Type="http://schemas.openxmlformats.org/officeDocument/2006/relationships/hyperlink" Id="rId22" Target="https://kiro.dev/docs/cli/reference/cli-commands/" TargetMode="External" /><Relationship Type="http://schemas.openxmlformats.org/officeDocument/2006/relationships/hyperlink" Id="rId30" Target="https://kiro.dev/docs/getting-started/authentication/" TargetMode="External" /><Relationship Type="http://schemas.openxmlformats.org/officeDocument/2006/relationships/hyperlink" Id="rId34" Target="https://kiro.dev/docs/privacy-and-security/data-protection/" TargetMode="External" /><Relationship Type="http://schemas.openxmlformats.org/officeDocument/2006/relationships/hyperlink" Id="rId31" Target="https://kiro.dev/pricing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AO Pivot — Runner Options (Claude Code vs Kiro CLI) and the Consulting Reframe</dc:title>
  <dc:creator>Prepared for the AO operator</dc:creator>
  <cp:keywords/>
  <dcterms:created xsi:type="dcterms:W3CDTF">2026-06-19T06:07:50Z</dcterms:created>
  <dcterms:modified xsi:type="dcterms:W3CDTF">2026-06-19T06:07:50Z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2026-06-19</vt:lpwstr>
  </property>
</Properties>
</file>